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5BF8" w14:textId="77777777" w:rsidR="001A1DB5" w:rsidRPr="00802776" w:rsidRDefault="001A1DB5" w:rsidP="001A1DB5">
      <w:pPr>
        <w:jc w:val="center"/>
        <w:rPr>
          <w:sz w:val="35"/>
          <w:szCs w:val="35"/>
        </w:rPr>
      </w:pPr>
      <w:r w:rsidRPr="00802776">
        <w:rPr>
          <w:sz w:val="35"/>
          <w:szCs w:val="35"/>
        </w:rPr>
        <w:t>DUNLAP WATER SYSTEM</w:t>
      </w:r>
    </w:p>
    <w:p w14:paraId="2A5C9DFB" w14:textId="77777777" w:rsidR="001A1DB5" w:rsidRDefault="001A1DB5" w:rsidP="001A1DB5">
      <w:pPr>
        <w:jc w:val="center"/>
        <w:rPr>
          <w:sz w:val="27"/>
          <w:szCs w:val="27"/>
        </w:rPr>
      </w:pPr>
    </w:p>
    <w:p w14:paraId="5B2070A7" w14:textId="17EEEBC2" w:rsidR="001A1DB5" w:rsidRDefault="001A1DB5" w:rsidP="001A1DB5">
      <w:pPr>
        <w:jc w:val="center"/>
        <w:rPr>
          <w:sz w:val="27"/>
          <w:szCs w:val="27"/>
        </w:rPr>
      </w:pPr>
      <w:r w:rsidRPr="00802776">
        <w:rPr>
          <w:sz w:val="27"/>
          <w:szCs w:val="27"/>
        </w:rPr>
        <w:t>WATER QUALITY REPORT</w:t>
      </w:r>
      <w:r>
        <w:rPr>
          <w:sz w:val="27"/>
          <w:szCs w:val="27"/>
        </w:rPr>
        <w:t xml:space="preserve"> 2021</w:t>
      </w:r>
    </w:p>
    <w:p w14:paraId="43D740FA" w14:textId="33E485F2" w:rsidR="001A1DB5" w:rsidRDefault="001A1DB5" w:rsidP="001A1DB5">
      <w:pPr>
        <w:jc w:val="center"/>
        <w:rPr>
          <w:sz w:val="27"/>
          <w:szCs w:val="27"/>
        </w:rPr>
      </w:pPr>
    </w:p>
    <w:p w14:paraId="3A5249E8" w14:textId="77777777" w:rsidR="001A1DB5" w:rsidRPr="00802776" w:rsidRDefault="001A1DB5" w:rsidP="001A1DB5">
      <w:pPr>
        <w:rPr>
          <w:b/>
          <w:caps/>
          <w:sz w:val="23"/>
          <w:szCs w:val="23"/>
        </w:rPr>
      </w:pPr>
      <w:r w:rsidRPr="00802776">
        <w:rPr>
          <w:b/>
          <w:caps/>
          <w:sz w:val="23"/>
          <w:szCs w:val="23"/>
        </w:rPr>
        <w:t xml:space="preserve">The Dunlap Water System routinely monitors for constituents in your drinking water according to Federal and State laws. </w:t>
      </w:r>
    </w:p>
    <w:p w14:paraId="60F3678F" w14:textId="01EA19FC" w:rsidR="001A1DB5" w:rsidRDefault="001A1DB5" w:rsidP="001A1DB5">
      <w:pPr>
        <w:rPr>
          <w:sz w:val="27"/>
          <w:szCs w:val="27"/>
        </w:rPr>
      </w:pPr>
    </w:p>
    <w:p w14:paraId="77B3607A" w14:textId="77777777" w:rsidR="001A1DB5" w:rsidRPr="00802776" w:rsidRDefault="001A1DB5" w:rsidP="001A1DB5">
      <w:pPr>
        <w:rPr>
          <w:sz w:val="23"/>
          <w:szCs w:val="23"/>
        </w:rPr>
      </w:pPr>
      <w:r w:rsidRPr="00802776">
        <w:rPr>
          <w:sz w:val="23"/>
          <w:szCs w:val="23"/>
        </w:rPr>
        <w:t>The enclosed table shows the results of our monitoring for the period of January 1</w:t>
      </w:r>
      <w:r w:rsidRPr="00802776">
        <w:rPr>
          <w:sz w:val="23"/>
          <w:szCs w:val="23"/>
          <w:vertAlign w:val="superscript"/>
        </w:rPr>
        <w:t>st</w:t>
      </w:r>
      <w:r w:rsidRPr="00802776">
        <w:rPr>
          <w:sz w:val="23"/>
          <w:szCs w:val="23"/>
        </w:rPr>
        <w:t xml:space="preserve"> to December 31</w:t>
      </w:r>
      <w:r w:rsidRPr="00BB7FFC">
        <w:rPr>
          <w:sz w:val="23"/>
          <w:szCs w:val="23"/>
          <w:vertAlign w:val="superscript"/>
        </w:rPr>
        <w:t>st</w:t>
      </w:r>
      <w:r>
        <w:rPr>
          <w:sz w:val="23"/>
          <w:szCs w:val="23"/>
        </w:rPr>
        <w:t xml:space="preserve">, </w:t>
      </w:r>
      <w:r w:rsidRPr="00A40D2A">
        <w:rPr>
          <w:i/>
          <w:sz w:val="23"/>
          <w:szCs w:val="23"/>
        </w:rPr>
        <w:t>20</w:t>
      </w:r>
      <w:r>
        <w:rPr>
          <w:i/>
          <w:sz w:val="23"/>
          <w:szCs w:val="23"/>
        </w:rPr>
        <w:t>21</w:t>
      </w:r>
      <w:r w:rsidRPr="00A40D2A">
        <w:rPr>
          <w:i/>
          <w:sz w:val="23"/>
          <w:szCs w:val="23"/>
        </w:rPr>
        <w:t>,</w:t>
      </w:r>
      <w:r w:rsidRPr="00DD24A4">
        <w:rPr>
          <w:color w:val="FF0000"/>
          <w:sz w:val="23"/>
          <w:szCs w:val="23"/>
        </w:rPr>
        <w:t xml:space="preserve"> </w:t>
      </w:r>
      <w:r w:rsidRPr="00802776">
        <w:rPr>
          <w:sz w:val="23"/>
          <w:szCs w:val="23"/>
        </w:rPr>
        <w:t>unless otherwise posted. All drinking water, including bottled drinking water, may be reasonably expected to contain at least small amounts of some constituents. It’s important to remember that the presence of these constituents does not necessarily pose a health risk.</w:t>
      </w:r>
    </w:p>
    <w:p w14:paraId="37891EA2" w14:textId="77777777" w:rsidR="001A1DB5" w:rsidRDefault="001A1DB5" w:rsidP="001A1DB5">
      <w:pPr>
        <w:rPr>
          <w:sz w:val="23"/>
          <w:szCs w:val="23"/>
        </w:rPr>
      </w:pPr>
      <w:r w:rsidRPr="00802776">
        <w:rPr>
          <w:sz w:val="23"/>
          <w:szCs w:val="23"/>
        </w:rPr>
        <w:t xml:space="preserve">The sources of drinking water (both tap and bottled water) include rivers, lakes, streams, ponds, reservoirs, springs, and wells. As water travels over the surface of the land or through the ground, it dissolves naturally-occurring minerals and, in some cases, radioactive material, and can </w:t>
      </w:r>
      <w:proofErr w:type="spellStart"/>
      <w:r w:rsidRPr="00802776">
        <w:rPr>
          <w:sz w:val="23"/>
          <w:szCs w:val="23"/>
        </w:rPr>
        <w:t>pickup</w:t>
      </w:r>
      <w:proofErr w:type="spellEnd"/>
      <w:r w:rsidRPr="00802776">
        <w:rPr>
          <w:sz w:val="23"/>
          <w:szCs w:val="23"/>
        </w:rPr>
        <w:t xml:space="preserve"> substances </w:t>
      </w:r>
      <w:proofErr w:type="gramStart"/>
      <w:r w:rsidRPr="00802776">
        <w:rPr>
          <w:sz w:val="23"/>
          <w:szCs w:val="23"/>
        </w:rPr>
        <w:t>resulting</w:t>
      </w:r>
      <w:proofErr w:type="gramEnd"/>
      <w:r w:rsidRPr="00802776">
        <w:rPr>
          <w:sz w:val="23"/>
          <w:szCs w:val="23"/>
        </w:rPr>
        <w:t xml:space="preserve"> from the presence of animals or from human activity.</w:t>
      </w:r>
    </w:p>
    <w:p w14:paraId="2268FF80" w14:textId="77777777" w:rsidR="001A1DB5" w:rsidRDefault="001A1DB5" w:rsidP="001A1DB5">
      <w:pPr>
        <w:rPr>
          <w:i/>
          <w:sz w:val="23"/>
          <w:szCs w:val="23"/>
        </w:rPr>
      </w:pPr>
      <w:r w:rsidRPr="00A66F3E">
        <w:rPr>
          <w:i/>
          <w:sz w:val="23"/>
          <w:szCs w:val="23"/>
        </w:rPr>
        <w:t>Contaminants that may be present</w:t>
      </w:r>
      <w:r>
        <w:rPr>
          <w:i/>
          <w:sz w:val="23"/>
          <w:szCs w:val="23"/>
        </w:rPr>
        <w:t xml:space="preserve"> in source water:</w:t>
      </w:r>
    </w:p>
    <w:p w14:paraId="311E9264" w14:textId="77777777" w:rsidR="001A1DB5" w:rsidRPr="00A66F3E" w:rsidRDefault="001A1DB5" w:rsidP="001A1DB5">
      <w:pPr>
        <w:pStyle w:val="ListParagraph"/>
        <w:numPr>
          <w:ilvl w:val="0"/>
          <w:numId w:val="1"/>
        </w:numPr>
        <w:rPr>
          <w:sz w:val="23"/>
          <w:szCs w:val="23"/>
        </w:rPr>
      </w:pPr>
      <w:r>
        <w:rPr>
          <w:i/>
          <w:sz w:val="23"/>
          <w:szCs w:val="23"/>
        </w:rPr>
        <w:t>Microbial contaminants, such as viruses and bacteria, which may come from sewage treatment plants, septic systems, agricultural livestock operations, and wildlife.</w:t>
      </w:r>
    </w:p>
    <w:p w14:paraId="7CE2C557" w14:textId="77777777" w:rsidR="001A1DB5" w:rsidRPr="00B93874" w:rsidRDefault="001A1DB5" w:rsidP="001A1DB5">
      <w:pPr>
        <w:pStyle w:val="ListParagraph"/>
        <w:numPr>
          <w:ilvl w:val="0"/>
          <w:numId w:val="1"/>
        </w:numPr>
        <w:rPr>
          <w:sz w:val="23"/>
          <w:szCs w:val="23"/>
        </w:rPr>
      </w:pPr>
      <w:r>
        <w:rPr>
          <w:i/>
          <w:sz w:val="23"/>
          <w:szCs w:val="23"/>
        </w:rPr>
        <w:t>Inorganic contaminants, such as salts and metals, which can be naturally-occurring or results from urban stormwater runoff, industrial, or domestic wastewater discharges, oil and gas production, mining, or farming.</w:t>
      </w:r>
    </w:p>
    <w:p w14:paraId="22B99198" w14:textId="77777777" w:rsidR="001A1DB5" w:rsidRPr="00B93874" w:rsidRDefault="001A1DB5" w:rsidP="001A1DB5">
      <w:pPr>
        <w:pStyle w:val="ListParagraph"/>
        <w:numPr>
          <w:ilvl w:val="0"/>
          <w:numId w:val="1"/>
        </w:numPr>
        <w:rPr>
          <w:sz w:val="23"/>
          <w:szCs w:val="23"/>
        </w:rPr>
      </w:pPr>
      <w:r w:rsidRPr="00B93874">
        <w:rPr>
          <w:i/>
          <w:sz w:val="23"/>
          <w:szCs w:val="23"/>
        </w:rPr>
        <w:t>Pesticides and herbicides, which may</w:t>
      </w:r>
      <w:r>
        <w:rPr>
          <w:i/>
          <w:sz w:val="23"/>
          <w:szCs w:val="23"/>
        </w:rPr>
        <w:t xml:space="preserve"> come from a variety of sources such as agriculture, urban stormwater runoff, and residential uses.</w:t>
      </w:r>
    </w:p>
    <w:p w14:paraId="441338C7" w14:textId="77777777" w:rsidR="001A1DB5" w:rsidRPr="00B93874" w:rsidRDefault="001A1DB5" w:rsidP="001A1DB5">
      <w:pPr>
        <w:pStyle w:val="ListParagraph"/>
        <w:numPr>
          <w:ilvl w:val="0"/>
          <w:numId w:val="1"/>
        </w:numPr>
        <w:rPr>
          <w:sz w:val="23"/>
          <w:szCs w:val="23"/>
        </w:rPr>
      </w:pPr>
      <w:r>
        <w:rPr>
          <w:i/>
          <w:sz w:val="23"/>
          <w:szCs w:val="23"/>
        </w:rPr>
        <w:t xml:space="preserve">Organic chemical </w:t>
      </w:r>
      <w:proofErr w:type="gramStart"/>
      <w:r>
        <w:rPr>
          <w:i/>
          <w:sz w:val="23"/>
          <w:szCs w:val="23"/>
        </w:rPr>
        <w:t>contaminate</w:t>
      </w:r>
      <w:proofErr w:type="gramEnd"/>
      <w:r>
        <w:rPr>
          <w:i/>
          <w:sz w:val="23"/>
          <w:szCs w:val="23"/>
        </w:rPr>
        <w:t>, including synthetic and volatile chemicals, which are by-products of industrial processes and petroleum production, and can also come from gas stations, urban stormwater runoff, and septic systems.</w:t>
      </w:r>
    </w:p>
    <w:p w14:paraId="30760BDA" w14:textId="77777777" w:rsidR="001A1DB5" w:rsidRPr="00B93874" w:rsidRDefault="001A1DB5" w:rsidP="001A1DB5">
      <w:pPr>
        <w:pStyle w:val="ListParagraph"/>
        <w:numPr>
          <w:ilvl w:val="0"/>
          <w:numId w:val="1"/>
        </w:numPr>
        <w:rPr>
          <w:sz w:val="23"/>
          <w:szCs w:val="23"/>
        </w:rPr>
      </w:pPr>
      <w:r>
        <w:rPr>
          <w:i/>
          <w:sz w:val="23"/>
          <w:szCs w:val="23"/>
        </w:rPr>
        <w:t>Radioactive contaminants, which can be naturally-</w:t>
      </w:r>
      <w:proofErr w:type="spellStart"/>
      <w:r>
        <w:rPr>
          <w:i/>
          <w:sz w:val="23"/>
          <w:szCs w:val="23"/>
        </w:rPr>
        <w:t>occuring</w:t>
      </w:r>
      <w:proofErr w:type="spellEnd"/>
      <w:r>
        <w:rPr>
          <w:i/>
          <w:sz w:val="23"/>
          <w:szCs w:val="23"/>
        </w:rPr>
        <w:t xml:space="preserve"> or be the result of oil and gas production and mining activities.</w:t>
      </w:r>
    </w:p>
    <w:p w14:paraId="3BB170B4" w14:textId="77777777" w:rsidR="001A1DB5" w:rsidRPr="00B93874" w:rsidRDefault="001A1DB5" w:rsidP="001A1DB5">
      <w:pPr>
        <w:rPr>
          <w:sz w:val="23"/>
          <w:szCs w:val="23"/>
        </w:rPr>
      </w:pPr>
      <w:r w:rsidRPr="00B93874">
        <w:rPr>
          <w:i/>
          <w:sz w:val="23"/>
          <w:szCs w:val="23"/>
        </w:rPr>
        <w:t xml:space="preserve"> </w:t>
      </w:r>
      <w:r w:rsidRPr="00B93874">
        <w:rPr>
          <w:sz w:val="23"/>
          <w:szCs w:val="23"/>
        </w:rPr>
        <w:t xml:space="preserve">In order to ensure that tap water is safe to drink, EPA and the Tennessee Department of Environment and Conservation prescribe regulations which limit the </w:t>
      </w:r>
      <w:proofErr w:type="gramStart"/>
      <w:r w:rsidRPr="00B93874">
        <w:rPr>
          <w:sz w:val="23"/>
          <w:szCs w:val="23"/>
        </w:rPr>
        <w:t>amount</w:t>
      </w:r>
      <w:proofErr w:type="gramEnd"/>
      <w:r w:rsidRPr="00B93874">
        <w:rPr>
          <w:sz w:val="23"/>
          <w:szCs w:val="23"/>
        </w:rPr>
        <w:t xml:space="preserve"> of certain contaminants in water provided by public water systems. FDA regulations establish limits for contaminants in bottled water which must provide the same protection for public health.</w:t>
      </w:r>
    </w:p>
    <w:p w14:paraId="213D804F" w14:textId="77777777" w:rsidR="001A1DB5" w:rsidRPr="00802776" w:rsidRDefault="001A1DB5" w:rsidP="001A1DB5">
      <w:pPr>
        <w:rPr>
          <w:sz w:val="23"/>
          <w:szCs w:val="23"/>
        </w:rPr>
      </w:pPr>
    </w:p>
    <w:p w14:paraId="1C4E0377" w14:textId="77777777" w:rsidR="001A1DB5" w:rsidRPr="00802776" w:rsidRDefault="001A1DB5" w:rsidP="001A1DB5">
      <w:pPr>
        <w:rPr>
          <w:sz w:val="23"/>
          <w:szCs w:val="23"/>
        </w:rPr>
      </w:pPr>
      <w:r w:rsidRPr="00802776">
        <w:rPr>
          <w:sz w:val="23"/>
          <w:szCs w:val="23"/>
        </w:rPr>
        <w:t>Some people may be more vulnerable to contaminants in drinking water than the general population. Immuno-compromised persons with cancer undergoing chemotherapy, person who have undergone organ transplants, people with HIV/AIDS or other immune system disorders, some elderly, and infants can be particularly at risk from infections. These people should seek advice from their health care providers about drinking water. EPA/CDC guidelines on appropriate means to lessen the risk of infection by cryptosporidium and other microbiological contaminants are available from the Safe Drinking Water Hotline (800-426-4791.</w:t>
      </w:r>
    </w:p>
    <w:p w14:paraId="77E7ABD7" w14:textId="77777777" w:rsidR="001A1DB5" w:rsidRDefault="001A1DB5" w:rsidP="001A1DB5">
      <w:pPr>
        <w:rPr>
          <w:sz w:val="23"/>
          <w:szCs w:val="23"/>
        </w:rPr>
      </w:pPr>
    </w:p>
    <w:p w14:paraId="0DB85F7A" w14:textId="77777777" w:rsidR="001A1DB5" w:rsidRPr="00802776" w:rsidRDefault="001A1DB5" w:rsidP="001A1DB5">
      <w:pPr>
        <w:rPr>
          <w:b/>
          <w:sz w:val="23"/>
          <w:szCs w:val="23"/>
        </w:rPr>
      </w:pPr>
      <w:r w:rsidRPr="00802776">
        <w:rPr>
          <w:b/>
          <w:sz w:val="23"/>
          <w:szCs w:val="23"/>
        </w:rPr>
        <w:t>WHERE DOES YOUR WATER COME FROM?</w:t>
      </w:r>
    </w:p>
    <w:p w14:paraId="75339546" w14:textId="77777777" w:rsidR="001A1DB5" w:rsidRPr="00802776" w:rsidRDefault="001A1DB5" w:rsidP="001A1DB5">
      <w:pPr>
        <w:rPr>
          <w:sz w:val="23"/>
          <w:szCs w:val="23"/>
        </w:rPr>
      </w:pPr>
    </w:p>
    <w:p w14:paraId="597ACDB6" w14:textId="77777777" w:rsidR="001A1DB5" w:rsidRDefault="001A1DB5" w:rsidP="001A1DB5">
      <w:pPr>
        <w:rPr>
          <w:sz w:val="23"/>
          <w:szCs w:val="23"/>
        </w:rPr>
      </w:pPr>
      <w:r w:rsidRPr="00802776">
        <w:rPr>
          <w:sz w:val="23"/>
          <w:szCs w:val="23"/>
        </w:rPr>
        <w:t xml:space="preserve">The origin of the </w:t>
      </w:r>
      <w:smartTag w:uri="urn:schemas-microsoft-com:office:smarttags" w:element="PlaceName">
        <w:r w:rsidRPr="00802776">
          <w:rPr>
            <w:sz w:val="23"/>
            <w:szCs w:val="23"/>
          </w:rPr>
          <w:t>Sequatchie</w:t>
        </w:r>
      </w:smartTag>
      <w:r w:rsidRPr="00802776">
        <w:rPr>
          <w:sz w:val="23"/>
          <w:szCs w:val="23"/>
        </w:rPr>
        <w:t xml:space="preserve"> </w:t>
      </w:r>
      <w:smartTag w:uri="urn:schemas-microsoft-com:office:smarttags" w:element="PlaceType">
        <w:r w:rsidRPr="00802776">
          <w:rPr>
            <w:sz w:val="23"/>
            <w:szCs w:val="23"/>
          </w:rPr>
          <w:t>River</w:t>
        </w:r>
      </w:smartTag>
      <w:r w:rsidRPr="00802776">
        <w:rPr>
          <w:sz w:val="23"/>
          <w:szCs w:val="23"/>
        </w:rPr>
        <w:t xml:space="preserve"> begins in the Grassy Cove Community in </w:t>
      </w:r>
      <w:smartTag w:uri="urn:schemas-microsoft-com:office:smarttags" w:element="place">
        <w:smartTag w:uri="urn:schemas-microsoft-com:office:smarttags" w:element="PlaceName">
          <w:r w:rsidRPr="00802776">
            <w:rPr>
              <w:sz w:val="23"/>
              <w:szCs w:val="23"/>
            </w:rPr>
            <w:t>Cumberland</w:t>
          </w:r>
        </w:smartTag>
        <w:r w:rsidRPr="00802776">
          <w:rPr>
            <w:sz w:val="23"/>
            <w:szCs w:val="23"/>
          </w:rPr>
          <w:t xml:space="preserve"> </w:t>
        </w:r>
        <w:smartTag w:uri="urn:schemas-microsoft-com:office:smarttags" w:element="PlaceType">
          <w:r w:rsidRPr="00802776">
            <w:rPr>
              <w:sz w:val="23"/>
              <w:szCs w:val="23"/>
            </w:rPr>
            <w:t>County</w:t>
          </w:r>
        </w:smartTag>
      </w:smartTag>
      <w:r w:rsidRPr="00802776">
        <w:rPr>
          <w:sz w:val="23"/>
          <w:szCs w:val="23"/>
        </w:rPr>
        <w:t>. The river flows down the heart of the Sequatchie Valley where we draw our water east of Dunlap off Old York Highway.</w:t>
      </w:r>
    </w:p>
    <w:p w14:paraId="4CF46BB9" w14:textId="77777777" w:rsidR="001A1DB5" w:rsidRDefault="001A1DB5" w:rsidP="001A1DB5">
      <w:pPr>
        <w:rPr>
          <w:b/>
          <w:sz w:val="23"/>
          <w:szCs w:val="23"/>
        </w:rPr>
      </w:pPr>
    </w:p>
    <w:p w14:paraId="07EC1DBA" w14:textId="5732A518" w:rsidR="001A1DB5" w:rsidRPr="001A1DB5" w:rsidRDefault="001A1DB5" w:rsidP="001A1DB5">
      <w:pPr>
        <w:rPr>
          <w:sz w:val="23"/>
          <w:szCs w:val="23"/>
        </w:rPr>
      </w:pPr>
      <w:r w:rsidRPr="00802776">
        <w:rPr>
          <w:b/>
          <w:sz w:val="23"/>
          <w:szCs w:val="23"/>
        </w:rPr>
        <w:lastRenderedPageBreak/>
        <w:t>SOURCE WATER ASSESSMENT</w:t>
      </w:r>
    </w:p>
    <w:p w14:paraId="35E3613C" w14:textId="77777777" w:rsidR="001A1DB5" w:rsidRDefault="001A1DB5" w:rsidP="001A1DB5">
      <w:pPr>
        <w:rPr>
          <w:sz w:val="23"/>
          <w:szCs w:val="23"/>
        </w:rPr>
      </w:pPr>
    </w:p>
    <w:p w14:paraId="4404EEB4" w14:textId="57D58886" w:rsidR="001A1DB5" w:rsidRPr="00802776" w:rsidRDefault="001A1DB5" w:rsidP="001A1DB5">
      <w:pPr>
        <w:rPr>
          <w:sz w:val="23"/>
          <w:szCs w:val="23"/>
        </w:rPr>
      </w:pPr>
      <w:r w:rsidRPr="00802776">
        <w:rPr>
          <w:sz w:val="23"/>
          <w:szCs w:val="23"/>
        </w:rPr>
        <w:t xml:space="preserve">The Tennessee Department of Environment and Conservation has prepared a Source Water Assessment Program Report for untreated water sources. The report assesses the susceptibility of untreated water sources to potential contamination. </w:t>
      </w:r>
      <w:r w:rsidRPr="00802776">
        <w:rPr>
          <w:sz w:val="23"/>
          <w:szCs w:val="23"/>
          <w:u w:val="single"/>
        </w:rPr>
        <w:t>Our rating is moderately susceptible</w:t>
      </w:r>
      <w:r w:rsidRPr="00802776">
        <w:rPr>
          <w:sz w:val="23"/>
          <w:szCs w:val="23"/>
        </w:rPr>
        <w:t xml:space="preserve"> an explanation of the Tennessee Source Water Assessment Program, the Source Water Assessment summaries, susceptible scorings and the overall TDEC report to EPA can be viewed at </w:t>
      </w:r>
      <w:hyperlink r:id="rId6" w:history="1">
        <w:r w:rsidRPr="00B0621E">
          <w:rPr>
            <w:rStyle w:val="Hyperlink"/>
            <w:sz w:val="23"/>
            <w:szCs w:val="23"/>
          </w:rPr>
          <w:t>www.tn.gov/environment/article/wr-wq-source-water-assessment</w:t>
        </w:r>
      </w:hyperlink>
      <w:r>
        <w:rPr>
          <w:sz w:val="23"/>
          <w:szCs w:val="23"/>
        </w:rPr>
        <w:t xml:space="preserve"> </w:t>
      </w:r>
      <w:r w:rsidRPr="00802776">
        <w:rPr>
          <w:sz w:val="23"/>
          <w:szCs w:val="23"/>
        </w:rPr>
        <w:t xml:space="preserve">or you may contact the water system to obtain copies of specific assessments.  </w:t>
      </w:r>
    </w:p>
    <w:p w14:paraId="0C4644BD" w14:textId="77777777" w:rsidR="001A1DB5" w:rsidRPr="00802776" w:rsidRDefault="001A1DB5" w:rsidP="001A1DB5">
      <w:pPr>
        <w:rPr>
          <w:sz w:val="23"/>
          <w:szCs w:val="23"/>
        </w:rPr>
      </w:pPr>
    </w:p>
    <w:p w14:paraId="7EC7B5DD" w14:textId="77777777" w:rsidR="001A1DB5" w:rsidRPr="00802776" w:rsidRDefault="001A1DB5" w:rsidP="001A1DB5">
      <w:pPr>
        <w:rPr>
          <w:b/>
          <w:sz w:val="23"/>
          <w:szCs w:val="23"/>
        </w:rPr>
      </w:pPr>
      <w:r w:rsidRPr="00802776">
        <w:rPr>
          <w:b/>
          <w:sz w:val="23"/>
          <w:szCs w:val="23"/>
        </w:rPr>
        <w:t>PUBLIC PARTICIPATION</w:t>
      </w:r>
    </w:p>
    <w:p w14:paraId="4E98C9C2" w14:textId="77777777" w:rsidR="001A1DB5" w:rsidRPr="00802776" w:rsidRDefault="001A1DB5" w:rsidP="001A1DB5">
      <w:pPr>
        <w:rPr>
          <w:sz w:val="23"/>
          <w:szCs w:val="23"/>
        </w:rPr>
      </w:pPr>
    </w:p>
    <w:p w14:paraId="5680F5A9" w14:textId="77777777" w:rsidR="001A1DB5" w:rsidRPr="00802776" w:rsidRDefault="001A1DB5" w:rsidP="001A1DB5">
      <w:pPr>
        <w:rPr>
          <w:sz w:val="23"/>
          <w:szCs w:val="23"/>
        </w:rPr>
      </w:pPr>
      <w:r w:rsidRPr="00802776">
        <w:rPr>
          <w:sz w:val="23"/>
          <w:szCs w:val="23"/>
        </w:rPr>
        <w:t xml:space="preserve">The Dunlap Water System conducts monthly business during regular City Commission Meetings which are scheduled the </w:t>
      </w:r>
      <w:r>
        <w:rPr>
          <w:sz w:val="23"/>
          <w:szCs w:val="23"/>
        </w:rPr>
        <w:t>3rd</w:t>
      </w:r>
      <w:r w:rsidRPr="00802776">
        <w:rPr>
          <w:sz w:val="23"/>
          <w:szCs w:val="23"/>
        </w:rPr>
        <w:t xml:space="preserve"> Thursday of each month at </w:t>
      </w:r>
      <w:smartTag w:uri="urn:schemas-microsoft-com:office:smarttags" w:element="time">
        <w:smartTagPr>
          <w:attr w:name="Minute" w:val="0"/>
          <w:attr w:name="Hour" w:val="18"/>
        </w:smartTagPr>
        <w:r w:rsidRPr="00802776">
          <w:rPr>
            <w:sz w:val="23"/>
            <w:szCs w:val="23"/>
          </w:rPr>
          <w:t>6:00pm</w:t>
        </w:r>
      </w:smartTag>
      <w:r w:rsidRPr="00802776">
        <w:rPr>
          <w:sz w:val="23"/>
          <w:szCs w:val="23"/>
        </w:rPr>
        <w:t>.</w:t>
      </w:r>
    </w:p>
    <w:p w14:paraId="2C5D3A99" w14:textId="77777777" w:rsidR="001A1DB5" w:rsidRPr="00802776" w:rsidRDefault="001A1DB5" w:rsidP="001A1DB5">
      <w:pPr>
        <w:rPr>
          <w:sz w:val="23"/>
          <w:szCs w:val="23"/>
        </w:rPr>
      </w:pPr>
    </w:p>
    <w:p w14:paraId="0F9DD022" w14:textId="77777777" w:rsidR="001A1DB5" w:rsidRDefault="001A1DB5" w:rsidP="001A1DB5">
      <w:pPr>
        <w:rPr>
          <w:b/>
          <w:sz w:val="23"/>
          <w:szCs w:val="23"/>
        </w:rPr>
      </w:pPr>
    </w:p>
    <w:p w14:paraId="59F3F0A3" w14:textId="77777777" w:rsidR="001A1DB5" w:rsidRPr="00802776" w:rsidRDefault="001A1DB5" w:rsidP="001A1DB5">
      <w:pPr>
        <w:rPr>
          <w:b/>
          <w:sz w:val="23"/>
          <w:szCs w:val="23"/>
        </w:rPr>
      </w:pPr>
      <w:r w:rsidRPr="00802776">
        <w:rPr>
          <w:b/>
          <w:sz w:val="23"/>
          <w:szCs w:val="23"/>
        </w:rPr>
        <w:t>CUSTOMER ASSISTANCE</w:t>
      </w:r>
    </w:p>
    <w:p w14:paraId="7E6394CC" w14:textId="77777777" w:rsidR="001A1DB5" w:rsidRPr="00802776" w:rsidRDefault="001A1DB5" w:rsidP="001A1DB5">
      <w:pPr>
        <w:rPr>
          <w:sz w:val="23"/>
          <w:szCs w:val="23"/>
        </w:rPr>
      </w:pPr>
    </w:p>
    <w:p w14:paraId="4D50526A" w14:textId="61E7A090" w:rsidR="001A1DB5" w:rsidRPr="00802776" w:rsidRDefault="001A1DB5" w:rsidP="001A1DB5">
      <w:pPr>
        <w:rPr>
          <w:sz w:val="23"/>
          <w:szCs w:val="23"/>
        </w:rPr>
      </w:pPr>
      <w:r w:rsidRPr="00802776">
        <w:rPr>
          <w:sz w:val="23"/>
          <w:szCs w:val="23"/>
        </w:rPr>
        <w:t>Office …………</w:t>
      </w:r>
      <w:r w:rsidR="00523D61">
        <w:rPr>
          <w:sz w:val="23"/>
          <w:szCs w:val="23"/>
        </w:rPr>
        <w:t>423</w:t>
      </w:r>
      <w:r w:rsidRPr="00802776">
        <w:rPr>
          <w:sz w:val="23"/>
          <w:szCs w:val="23"/>
        </w:rPr>
        <w:t>.949.2115</w:t>
      </w:r>
    </w:p>
    <w:p w14:paraId="1D769389" w14:textId="7491470B" w:rsidR="001A1DB5" w:rsidRPr="00802776" w:rsidRDefault="001A1DB5" w:rsidP="001A1DB5">
      <w:pPr>
        <w:rPr>
          <w:sz w:val="23"/>
          <w:szCs w:val="23"/>
        </w:rPr>
      </w:pPr>
      <w:r>
        <w:rPr>
          <w:sz w:val="23"/>
          <w:szCs w:val="23"/>
        </w:rPr>
        <w:t>Treatment Plant…</w:t>
      </w:r>
      <w:r w:rsidR="00523D61">
        <w:rPr>
          <w:sz w:val="23"/>
          <w:szCs w:val="23"/>
        </w:rPr>
        <w:t>423</w:t>
      </w:r>
      <w:r>
        <w:rPr>
          <w:sz w:val="23"/>
          <w:szCs w:val="23"/>
        </w:rPr>
        <w:t>.</w:t>
      </w:r>
      <w:r w:rsidRPr="00802776">
        <w:rPr>
          <w:sz w:val="23"/>
          <w:szCs w:val="23"/>
        </w:rPr>
        <w:t>949.3121</w:t>
      </w:r>
    </w:p>
    <w:p w14:paraId="6906BF3E" w14:textId="77777777" w:rsidR="001A1DB5" w:rsidRPr="00802776" w:rsidRDefault="001A1DB5" w:rsidP="001A1DB5">
      <w:pPr>
        <w:rPr>
          <w:sz w:val="23"/>
          <w:szCs w:val="23"/>
        </w:rPr>
      </w:pPr>
    </w:p>
    <w:p w14:paraId="42E38A82" w14:textId="77777777" w:rsidR="001A1DB5" w:rsidRPr="00802776" w:rsidRDefault="001A1DB5" w:rsidP="001A1DB5">
      <w:pPr>
        <w:rPr>
          <w:sz w:val="23"/>
          <w:szCs w:val="23"/>
        </w:rPr>
      </w:pPr>
    </w:p>
    <w:p w14:paraId="2E458707" w14:textId="77777777" w:rsidR="001A1DB5" w:rsidRPr="00802776" w:rsidRDefault="001A1DB5" w:rsidP="001A1DB5">
      <w:pPr>
        <w:rPr>
          <w:sz w:val="23"/>
          <w:szCs w:val="23"/>
        </w:rPr>
      </w:pPr>
      <w:r w:rsidRPr="00802776">
        <w:rPr>
          <w:b/>
          <w:sz w:val="23"/>
          <w:szCs w:val="23"/>
        </w:rPr>
        <w:t xml:space="preserve">LEAD </w:t>
      </w:r>
    </w:p>
    <w:p w14:paraId="3C59DD4D" w14:textId="77777777" w:rsidR="001A1DB5" w:rsidRPr="00802776" w:rsidRDefault="001A1DB5" w:rsidP="001A1DB5">
      <w:pPr>
        <w:rPr>
          <w:sz w:val="23"/>
          <w:szCs w:val="23"/>
        </w:rPr>
      </w:pPr>
    </w:p>
    <w:p w14:paraId="5E8BB0EE" w14:textId="77777777" w:rsidR="001A1DB5" w:rsidRPr="001A1DB5" w:rsidRDefault="001A1DB5" w:rsidP="001A1DB5">
      <w:pPr>
        <w:rPr>
          <w:sz w:val="23"/>
          <w:szCs w:val="23"/>
        </w:rPr>
      </w:pPr>
      <w:r w:rsidRPr="001A1DB5">
        <w:rPr>
          <w:sz w:val="23"/>
          <w:szCs w:val="23"/>
        </w:rPr>
        <w:t xml:space="preserve">If, present elevated levels of lead can cause serious health problems, especially for pregnant women and young children. Lead in drinking water is primarily from materials and components associated with service lines and home plumbing. The Dunlap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1A1DB5">
          <w:rPr>
            <w:rStyle w:val="Hyperlink"/>
            <w:sz w:val="23"/>
            <w:szCs w:val="23"/>
          </w:rPr>
          <w:t>http://www.epa.gov/safewater/lead</w:t>
        </w:r>
      </w:hyperlink>
      <w:r w:rsidRPr="001A1DB5">
        <w:rPr>
          <w:sz w:val="23"/>
          <w:szCs w:val="23"/>
        </w:rPr>
        <w:t xml:space="preserve"> </w:t>
      </w:r>
    </w:p>
    <w:p w14:paraId="300F921F" w14:textId="77777777" w:rsidR="001A1DB5" w:rsidRPr="00802776" w:rsidRDefault="001A1DB5" w:rsidP="001A1DB5">
      <w:pPr>
        <w:rPr>
          <w:sz w:val="23"/>
          <w:szCs w:val="23"/>
        </w:rPr>
      </w:pPr>
    </w:p>
    <w:p w14:paraId="60658C2C" w14:textId="77777777" w:rsidR="001A1DB5" w:rsidRPr="00802776" w:rsidRDefault="001A1DB5" w:rsidP="001A1DB5">
      <w:pPr>
        <w:rPr>
          <w:b/>
          <w:sz w:val="23"/>
          <w:szCs w:val="23"/>
        </w:rPr>
      </w:pPr>
      <w:r w:rsidRPr="00802776">
        <w:rPr>
          <w:b/>
          <w:sz w:val="23"/>
          <w:szCs w:val="23"/>
        </w:rPr>
        <w:t>DUNLAP WATER SYSTEM</w:t>
      </w:r>
    </w:p>
    <w:p w14:paraId="32BF56D1" w14:textId="2E839BE6" w:rsidR="001A1DB5" w:rsidRPr="00802776" w:rsidRDefault="00C10E66" w:rsidP="001A1DB5">
      <w:pPr>
        <w:rPr>
          <w:sz w:val="23"/>
          <w:szCs w:val="23"/>
        </w:rPr>
      </w:pPr>
      <w:r>
        <w:rPr>
          <w:noProof/>
          <w:sz w:val="23"/>
          <w:szCs w:val="23"/>
        </w:rPr>
        <w:drawing>
          <wp:anchor distT="0" distB="0" distL="114300" distR="114300" simplePos="0" relativeHeight="251659264" behindDoc="0" locked="0" layoutInCell="1" allowOverlap="1" wp14:anchorId="4F4E6D0B" wp14:editId="376E207B">
            <wp:simplePos x="0" y="0"/>
            <wp:positionH relativeFrom="column">
              <wp:posOffset>4229100</wp:posOffset>
            </wp:positionH>
            <wp:positionV relativeFrom="paragraph">
              <wp:posOffset>72390</wp:posOffset>
            </wp:positionV>
            <wp:extent cx="1168400" cy="2275840"/>
            <wp:effectExtent l="0" t="0" r="0" b="0"/>
            <wp:wrapThrough wrapText="bothSides">
              <wp:wrapPolygon edited="0">
                <wp:start x="0" y="0"/>
                <wp:lineTo x="0" y="21335"/>
                <wp:lineTo x="21130" y="21335"/>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Box.jpg"/>
                    <pic:cNvPicPr/>
                  </pic:nvPicPr>
                  <pic:blipFill>
                    <a:blip r:embed="rId8">
                      <a:extLst>
                        <a:ext uri="{28A0092B-C50C-407E-A947-70E740481C1C}">
                          <a14:useLocalDpi xmlns:a14="http://schemas.microsoft.com/office/drawing/2010/main" val="0"/>
                        </a:ext>
                      </a:extLst>
                    </a:blip>
                    <a:stretch>
                      <a:fillRect/>
                    </a:stretch>
                  </pic:blipFill>
                  <pic:spPr>
                    <a:xfrm>
                      <a:off x="0" y="0"/>
                      <a:ext cx="1168400" cy="2275840"/>
                    </a:xfrm>
                    <a:prstGeom prst="rect">
                      <a:avLst/>
                    </a:prstGeom>
                  </pic:spPr>
                </pic:pic>
              </a:graphicData>
            </a:graphic>
          </wp:anchor>
        </w:drawing>
      </w:r>
    </w:p>
    <w:p w14:paraId="717259CD" w14:textId="72F4E6CE" w:rsidR="001A1DB5" w:rsidRPr="001A1DB5" w:rsidRDefault="001A1DB5" w:rsidP="001A1DB5">
      <w:pPr>
        <w:rPr>
          <w:sz w:val="23"/>
          <w:szCs w:val="23"/>
        </w:rPr>
      </w:pPr>
      <w:r w:rsidRPr="001A1DB5">
        <w:rPr>
          <w:sz w:val="23"/>
          <w:szCs w:val="23"/>
        </w:rPr>
        <w:t xml:space="preserve">Meets and exceeds State and Environmental Protection Agency standards. More information can be obtained from the Water Treatment Plant at </w:t>
      </w:r>
      <w:r w:rsidR="00523D61">
        <w:rPr>
          <w:sz w:val="23"/>
          <w:szCs w:val="23"/>
        </w:rPr>
        <w:t>423.</w:t>
      </w:r>
      <w:r w:rsidRPr="001A1DB5">
        <w:rPr>
          <w:sz w:val="23"/>
          <w:szCs w:val="23"/>
        </w:rPr>
        <w:t>949.3121.</w:t>
      </w:r>
    </w:p>
    <w:p w14:paraId="4AEC116C" w14:textId="77777777" w:rsidR="001A1DB5" w:rsidRDefault="001A1DB5" w:rsidP="001A1DB5">
      <w:pPr>
        <w:rPr>
          <w:sz w:val="23"/>
          <w:szCs w:val="23"/>
        </w:rPr>
      </w:pPr>
    </w:p>
    <w:p w14:paraId="5D653120" w14:textId="77777777" w:rsidR="001A1DB5" w:rsidRDefault="001A1DB5" w:rsidP="001A1DB5">
      <w:pPr>
        <w:rPr>
          <w:sz w:val="23"/>
          <w:szCs w:val="23"/>
        </w:rPr>
      </w:pPr>
    </w:p>
    <w:p w14:paraId="57627496" w14:textId="164B80E9" w:rsidR="001A1DB5" w:rsidRPr="001A1DB5" w:rsidRDefault="001A1DB5" w:rsidP="001A1DB5">
      <w:pPr>
        <w:rPr>
          <w:b/>
          <w:sz w:val="23"/>
          <w:szCs w:val="23"/>
        </w:rPr>
      </w:pPr>
      <w:r>
        <w:rPr>
          <w:b/>
          <w:sz w:val="23"/>
          <w:szCs w:val="23"/>
        </w:rPr>
        <w:t>PRESCRIPTION DRUG TAKE-BACK</w:t>
      </w:r>
    </w:p>
    <w:p w14:paraId="771F92DA" w14:textId="77777777" w:rsidR="001A1DB5" w:rsidRDefault="001A1DB5" w:rsidP="001A1DB5">
      <w:pPr>
        <w:rPr>
          <w:b/>
          <w:sz w:val="23"/>
          <w:szCs w:val="23"/>
        </w:rPr>
      </w:pPr>
    </w:p>
    <w:p w14:paraId="31A8B210" w14:textId="77777777" w:rsidR="00C10E66" w:rsidRDefault="001A1DB5" w:rsidP="001A1DB5">
      <w:pPr>
        <w:rPr>
          <w:sz w:val="23"/>
          <w:szCs w:val="23"/>
        </w:rPr>
      </w:pPr>
      <w:r w:rsidRPr="001A1DB5">
        <w:rPr>
          <w:sz w:val="23"/>
          <w:szCs w:val="23"/>
        </w:rPr>
        <w:t>The City of Dunlap Police Department has a Prescription Drug</w:t>
      </w:r>
    </w:p>
    <w:p w14:paraId="5A6C43DA" w14:textId="43730495" w:rsidR="00C10E66" w:rsidRDefault="001A1DB5" w:rsidP="001A1DB5">
      <w:pPr>
        <w:rPr>
          <w:sz w:val="23"/>
          <w:szCs w:val="23"/>
        </w:rPr>
      </w:pPr>
      <w:r w:rsidRPr="001A1DB5">
        <w:rPr>
          <w:sz w:val="23"/>
          <w:szCs w:val="23"/>
        </w:rPr>
        <w:t>Take-Back box located at 119 Church Street. Drop off hours</w:t>
      </w:r>
    </w:p>
    <w:p w14:paraId="084DD571" w14:textId="77777777" w:rsidR="00C10E66" w:rsidRDefault="001A1DB5" w:rsidP="001A1DB5">
      <w:pPr>
        <w:rPr>
          <w:sz w:val="23"/>
          <w:szCs w:val="23"/>
        </w:rPr>
      </w:pPr>
      <w:r w:rsidRPr="001A1DB5">
        <w:rPr>
          <w:sz w:val="23"/>
          <w:szCs w:val="23"/>
        </w:rPr>
        <w:t>are 8:00am – 4:00pm Monday – Friday. Additional information</w:t>
      </w:r>
    </w:p>
    <w:p w14:paraId="1151B8C6" w14:textId="29A70A96" w:rsidR="001A1DB5" w:rsidRPr="001A1DB5" w:rsidRDefault="001A1DB5" w:rsidP="001A1DB5">
      <w:pPr>
        <w:rPr>
          <w:sz w:val="23"/>
          <w:szCs w:val="23"/>
        </w:rPr>
      </w:pPr>
      <w:r w:rsidRPr="001A1DB5">
        <w:rPr>
          <w:sz w:val="23"/>
          <w:szCs w:val="23"/>
        </w:rPr>
        <w:t>can be obtained by calling 423.949.3319</w:t>
      </w:r>
    </w:p>
    <w:p w14:paraId="072A35E9" w14:textId="77777777" w:rsidR="001A1DB5" w:rsidRDefault="001A1DB5" w:rsidP="001A1DB5">
      <w:pPr>
        <w:rPr>
          <w:sz w:val="23"/>
          <w:szCs w:val="23"/>
        </w:rPr>
      </w:pPr>
    </w:p>
    <w:p w14:paraId="7600CF6D" w14:textId="77777777" w:rsidR="00C10E66" w:rsidRDefault="00C10E66" w:rsidP="00C10E66">
      <w:pPr>
        <w:jc w:val="center"/>
      </w:pPr>
      <w:r>
        <w:lastRenderedPageBreak/>
        <w:t>ANNUAL WATER QUALITY TEST REPORT 2021</w:t>
      </w:r>
    </w:p>
    <w:p w14:paraId="18226C68" w14:textId="77777777" w:rsidR="00C10E66" w:rsidRDefault="00C10E66" w:rsidP="00C10E66">
      <w:pPr>
        <w:jc w:val="center"/>
      </w:pPr>
      <w:r>
        <w:t>TEST RESULTS</w:t>
      </w:r>
    </w:p>
    <w:tbl>
      <w:tblPr>
        <w:tblW w:w="1124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300"/>
        <w:gridCol w:w="1589"/>
        <w:gridCol w:w="1206"/>
        <w:gridCol w:w="1199"/>
        <w:gridCol w:w="1183"/>
        <w:gridCol w:w="3374"/>
      </w:tblGrid>
      <w:tr w:rsidR="00C10E66" w14:paraId="05DE29CA" w14:textId="77777777" w:rsidTr="00E05F6E">
        <w:trPr>
          <w:trHeight w:val="229"/>
        </w:trPr>
        <w:tc>
          <w:tcPr>
            <w:tcW w:w="1392" w:type="dxa"/>
            <w:shd w:val="clear" w:color="auto" w:fill="auto"/>
            <w:vAlign w:val="center"/>
          </w:tcPr>
          <w:p w14:paraId="5C7A9270" w14:textId="77777777" w:rsidR="00C10E66" w:rsidRPr="0007417D" w:rsidRDefault="00C10E66" w:rsidP="00E05F6E">
            <w:pPr>
              <w:jc w:val="center"/>
              <w:rPr>
                <w:sz w:val="20"/>
              </w:rPr>
            </w:pPr>
            <w:r w:rsidRPr="0007417D">
              <w:rPr>
                <w:sz w:val="20"/>
              </w:rPr>
              <w:t>Contaminant</w:t>
            </w:r>
          </w:p>
        </w:tc>
        <w:tc>
          <w:tcPr>
            <w:tcW w:w="1306" w:type="dxa"/>
            <w:shd w:val="clear" w:color="auto" w:fill="auto"/>
            <w:vAlign w:val="center"/>
          </w:tcPr>
          <w:p w14:paraId="6550A854" w14:textId="77777777" w:rsidR="00C10E66" w:rsidRPr="0007417D" w:rsidRDefault="00C10E66" w:rsidP="00E05F6E">
            <w:pPr>
              <w:jc w:val="center"/>
              <w:rPr>
                <w:sz w:val="20"/>
              </w:rPr>
            </w:pPr>
            <w:r>
              <w:rPr>
                <w:sz w:val="20"/>
              </w:rPr>
              <w:t xml:space="preserve">MCLG </w:t>
            </w:r>
          </w:p>
        </w:tc>
        <w:tc>
          <w:tcPr>
            <w:tcW w:w="1601" w:type="dxa"/>
            <w:shd w:val="clear" w:color="auto" w:fill="auto"/>
            <w:vAlign w:val="center"/>
          </w:tcPr>
          <w:p w14:paraId="62568FF5" w14:textId="77777777" w:rsidR="00C10E66" w:rsidRPr="0007417D" w:rsidRDefault="00C10E66" w:rsidP="00E05F6E">
            <w:pPr>
              <w:jc w:val="center"/>
              <w:rPr>
                <w:sz w:val="20"/>
              </w:rPr>
            </w:pPr>
            <w:r>
              <w:rPr>
                <w:sz w:val="20"/>
              </w:rPr>
              <w:t>MCL</w:t>
            </w:r>
          </w:p>
        </w:tc>
        <w:tc>
          <w:tcPr>
            <w:tcW w:w="1210" w:type="dxa"/>
            <w:shd w:val="clear" w:color="auto" w:fill="auto"/>
          </w:tcPr>
          <w:p w14:paraId="2DDD83FF" w14:textId="77777777" w:rsidR="00C10E66" w:rsidRPr="0007417D" w:rsidRDefault="00C10E66" w:rsidP="00E05F6E">
            <w:pPr>
              <w:jc w:val="center"/>
              <w:rPr>
                <w:sz w:val="20"/>
              </w:rPr>
            </w:pPr>
            <w:r>
              <w:rPr>
                <w:sz w:val="20"/>
              </w:rPr>
              <w:t>Amount Detected</w:t>
            </w:r>
          </w:p>
        </w:tc>
        <w:tc>
          <w:tcPr>
            <w:tcW w:w="1205" w:type="dxa"/>
            <w:shd w:val="clear" w:color="auto" w:fill="auto"/>
            <w:vAlign w:val="center"/>
          </w:tcPr>
          <w:p w14:paraId="261D86E2" w14:textId="77777777" w:rsidR="00C10E66" w:rsidRPr="0007417D" w:rsidRDefault="00C10E66" w:rsidP="00E05F6E">
            <w:pPr>
              <w:jc w:val="center"/>
              <w:rPr>
                <w:sz w:val="20"/>
              </w:rPr>
            </w:pPr>
            <w:r>
              <w:rPr>
                <w:sz w:val="20"/>
              </w:rPr>
              <w:t>Range</w:t>
            </w:r>
          </w:p>
        </w:tc>
        <w:tc>
          <w:tcPr>
            <w:tcW w:w="1127" w:type="dxa"/>
            <w:shd w:val="clear" w:color="auto" w:fill="auto"/>
          </w:tcPr>
          <w:p w14:paraId="55CC5D3F" w14:textId="77777777" w:rsidR="00C10E66" w:rsidRPr="0007417D" w:rsidRDefault="00C10E66" w:rsidP="00E05F6E">
            <w:pPr>
              <w:jc w:val="center"/>
              <w:rPr>
                <w:sz w:val="20"/>
              </w:rPr>
            </w:pPr>
            <w:r>
              <w:rPr>
                <w:sz w:val="20"/>
              </w:rPr>
              <w:t>Compliance</w:t>
            </w:r>
          </w:p>
          <w:p w14:paraId="1C222F3A" w14:textId="77777777" w:rsidR="00C10E66" w:rsidRPr="0007417D" w:rsidRDefault="00C10E66" w:rsidP="00E05F6E">
            <w:pPr>
              <w:jc w:val="center"/>
              <w:rPr>
                <w:sz w:val="20"/>
              </w:rPr>
            </w:pPr>
            <w:r w:rsidRPr="0007417D">
              <w:rPr>
                <w:sz w:val="20"/>
              </w:rPr>
              <w:t>Y / N</w:t>
            </w:r>
          </w:p>
        </w:tc>
        <w:tc>
          <w:tcPr>
            <w:tcW w:w="3401" w:type="dxa"/>
            <w:shd w:val="clear" w:color="auto" w:fill="auto"/>
          </w:tcPr>
          <w:p w14:paraId="667A88C7" w14:textId="77777777" w:rsidR="00C10E66" w:rsidRPr="0007417D" w:rsidRDefault="00C10E66" w:rsidP="00E05F6E">
            <w:pPr>
              <w:jc w:val="center"/>
              <w:rPr>
                <w:sz w:val="20"/>
              </w:rPr>
            </w:pPr>
            <w:r w:rsidRPr="0007417D">
              <w:rPr>
                <w:sz w:val="20"/>
              </w:rPr>
              <w:t>Typical source of Contaminant</w:t>
            </w:r>
          </w:p>
        </w:tc>
      </w:tr>
    </w:tbl>
    <w:p w14:paraId="0CF37DB7" w14:textId="77777777" w:rsidR="001A1DB5" w:rsidRPr="001A1DB5" w:rsidRDefault="001A1DB5" w:rsidP="001A1DB5">
      <w:pPr>
        <w:rPr>
          <w:sz w:val="27"/>
          <w:szCs w:val="27"/>
        </w:rPr>
      </w:pPr>
    </w:p>
    <w:tbl>
      <w:tblPr>
        <w:tblW w:w="1123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319"/>
        <w:gridCol w:w="1623"/>
        <w:gridCol w:w="1198"/>
        <w:gridCol w:w="19"/>
        <w:gridCol w:w="1203"/>
        <w:gridCol w:w="14"/>
        <w:gridCol w:w="1014"/>
        <w:gridCol w:w="3449"/>
      </w:tblGrid>
      <w:tr w:rsidR="00DA21FF" w14:paraId="6708E958" w14:textId="77777777" w:rsidTr="00E05F6E">
        <w:trPr>
          <w:trHeight w:val="382"/>
        </w:trPr>
        <w:tc>
          <w:tcPr>
            <w:tcW w:w="1395" w:type="dxa"/>
            <w:shd w:val="clear" w:color="auto" w:fill="auto"/>
            <w:vAlign w:val="center"/>
          </w:tcPr>
          <w:p w14:paraId="24F8E9CC" w14:textId="77777777" w:rsidR="00DA21FF" w:rsidRPr="0007417D" w:rsidRDefault="00DA21FF" w:rsidP="00E05F6E">
            <w:pPr>
              <w:jc w:val="center"/>
              <w:rPr>
                <w:sz w:val="20"/>
              </w:rPr>
            </w:pPr>
            <w:r w:rsidRPr="0007417D">
              <w:rPr>
                <w:sz w:val="20"/>
              </w:rPr>
              <w:t>Total Coliform Bacteria</w:t>
            </w:r>
          </w:p>
        </w:tc>
        <w:tc>
          <w:tcPr>
            <w:tcW w:w="1319" w:type="dxa"/>
            <w:shd w:val="clear" w:color="auto" w:fill="auto"/>
            <w:vAlign w:val="center"/>
          </w:tcPr>
          <w:p w14:paraId="7C2DEB1B" w14:textId="77777777" w:rsidR="00DA21FF" w:rsidRPr="0007417D" w:rsidRDefault="00DA21FF" w:rsidP="00E05F6E">
            <w:pPr>
              <w:jc w:val="center"/>
              <w:rPr>
                <w:sz w:val="20"/>
              </w:rPr>
            </w:pPr>
            <w:r w:rsidRPr="0007417D">
              <w:rPr>
                <w:sz w:val="20"/>
              </w:rPr>
              <w:t>0</w:t>
            </w:r>
          </w:p>
        </w:tc>
        <w:tc>
          <w:tcPr>
            <w:tcW w:w="1623" w:type="dxa"/>
            <w:shd w:val="clear" w:color="auto" w:fill="auto"/>
            <w:vAlign w:val="center"/>
          </w:tcPr>
          <w:p w14:paraId="08A16D43" w14:textId="77777777" w:rsidR="00DA21FF" w:rsidRPr="0007417D" w:rsidRDefault="00DA21FF" w:rsidP="00E05F6E">
            <w:pPr>
              <w:jc w:val="center"/>
              <w:rPr>
                <w:sz w:val="20"/>
              </w:rPr>
            </w:pPr>
            <w:r>
              <w:rPr>
                <w:sz w:val="20"/>
              </w:rPr>
              <w:t xml:space="preserve">No more than 1 </w:t>
            </w:r>
            <w:r w:rsidRPr="0007417D">
              <w:rPr>
                <w:sz w:val="20"/>
              </w:rPr>
              <w:t>positive</w:t>
            </w:r>
            <w:r>
              <w:rPr>
                <w:sz w:val="20"/>
              </w:rPr>
              <w:t xml:space="preserve"> </w:t>
            </w:r>
            <w:r w:rsidRPr="0007417D">
              <w:rPr>
                <w:sz w:val="20"/>
              </w:rPr>
              <w:t>sample</w:t>
            </w:r>
          </w:p>
        </w:tc>
        <w:tc>
          <w:tcPr>
            <w:tcW w:w="1198" w:type="dxa"/>
            <w:shd w:val="clear" w:color="auto" w:fill="auto"/>
            <w:vAlign w:val="center"/>
          </w:tcPr>
          <w:p w14:paraId="33E95FF5" w14:textId="77777777" w:rsidR="00DA21FF" w:rsidRPr="0007417D" w:rsidRDefault="00DA21FF" w:rsidP="00E05F6E">
            <w:pPr>
              <w:jc w:val="center"/>
              <w:rPr>
                <w:sz w:val="20"/>
              </w:rPr>
            </w:pPr>
            <w:r w:rsidRPr="0007417D">
              <w:rPr>
                <w:sz w:val="20"/>
              </w:rPr>
              <w:t>0</w:t>
            </w:r>
          </w:p>
        </w:tc>
        <w:tc>
          <w:tcPr>
            <w:tcW w:w="1222" w:type="dxa"/>
            <w:gridSpan w:val="2"/>
            <w:shd w:val="clear" w:color="auto" w:fill="auto"/>
            <w:vAlign w:val="center"/>
          </w:tcPr>
          <w:p w14:paraId="1B1311D3" w14:textId="77777777" w:rsidR="00DA21FF" w:rsidRPr="0007417D" w:rsidRDefault="00DA21FF" w:rsidP="00E05F6E">
            <w:pPr>
              <w:jc w:val="center"/>
              <w:rPr>
                <w:sz w:val="20"/>
              </w:rPr>
            </w:pPr>
            <w:r w:rsidRPr="0007417D">
              <w:rPr>
                <w:sz w:val="20"/>
              </w:rPr>
              <w:t xml:space="preserve">0 </w:t>
            </w:r>
          </w:p>
        </w:tc>
        <w:tc>
          <w:tcPr>
            <w:tcW w:w="1028" w:type="dxa"/>
            <w:gridSpan w:val="2"/>
            <w:shd w:val="clear" w:color="auto" w:fill="auto"/>
            <w:vAlign w:val="center"/>
          </w:tcPr>
          <w:p w14:paraId="459F7AA2" w14:textId="77777777" w:rsidR="00DA21FF" w:rsidRPr="0007417D" w:rsidRDefault="00DA21FF" w:rsidP="00E05F6E">
            <w:pPr>
              <w:jc w:val="center"/>
              <w:rPr>
                <w:sz w:val="20"/>
              </w:rPr>
            </w:pPr>
            <w:r>
              <w:rPr>
                <w:sz w:val="20"/>
              </w:rPr>
              <w:t>yes</w:t>
            </w:r>
          </w:p>
        </w:tc>
        <w:tc>
          <w:tcPr>
            <w:tcW w:w="3449" w:type="dxa"/>
            <w:shd w:val="clear" w:color="auto" w:fill="auto"/>
            <w:vAlign w:val="center"/>
          </w:tcPr>
          <w:p w14:paraId="12306E6C" w14:textId="77777777" w:rsidR="00DA21FF" w:rsidRPr="0007417D" w:rsidRDefault="00DA21FF" w:rsidP="00E05F6E">
            <w:pPr>
              <w:jc w:val="center"/>
              <w:rPr>
                <w:sz w:val="20"/>
              </w:rPr>
            </w:pPr>
            <w:r w:rsidRPr="0007417D">
              <w:rPr>
                <w:sz w:val="20"/>
              </w:rPr>
              <w:t>Naturally present in the environment</w:t>
            </w:r>
          </w:p>
        </w:tc>
      </w:tr>
      <w:tr w:rsidR="00DA21FF" w14:paraId="38FC4C17" w14:textId="77777777" w:rsidTr="00E05F6E">
        <w:trPr>
          <w:trHeight w:val="773"/>
        </w:trPr>
        <w:tc>
          <w:tcPr>
            <w:tcW w:w="1395" w:type="dxa"/>
            <w:shd w:val="clear" w:color="auto" w:fill="auto"/>
            <w:vAlign w:val="center"/>
          </w:tcPr>
          <w:p w14:paraId="5BECB314" w14:textId="77777777" w:rsidR="00DA21FF" w:rsidRPr="0007417D" w:rsidRDefault="00DA21FF" w:rsidP="00E05F6E">
            <w:pPr>
              <w:jc w:val="center"/>
              <w:rPr>
                <w:sz w:val="20"/>
              </w:rPr>
            </w:pPr>
            <w:r w:rsidRPr="0007417D">
              <w:rPr>
                <w:sz w:val="20"/>
              </w:rPr>
              <w:t>Turbidity</w:t>
            </w:r>
          </w:p>
          <w:p w14:paraId="229EE580" w14:textId="77777777" w:rsidR="00DA21FF" w:rsidRPr="0007417D" w:rsidRDefault="00DA21FF" w:rsidP="00E05F6E">
            <w:pPr>
              <w:jc w:val="center"/>
              <w:rPr>
                <w:sz w:val="20"/>
              </w:rPr>
            </w:pPr>
          </w:p>
        </w:tc>
        <w:tc>
          <w:tcPr>
            <w:tcW w:w="1319" w:type="dxa"/>
            <w:shd w:val="clear" w:color="auto" w:fill="auto"/>
            <w:vAlign w:val="center"/>
          </w:tcPr>
          <w:p w14:paraId="44D7342B" w14:textId="77777777" w:rsidR="00DA21FF" w:rsidRPr="0007417D" w:rsidRDefault="00DA21FF" w:rsidP="00E05F6E">
            <w:pPr>
              <w:jc w:val="center"/>
              <w:rPr>
                <w:sz w:val="20"/>
              </w:rPr>
            </w:pPr>
            <w:r w:rsidRPr="0007417D">
              <w:rPr>
                <w:sz w:val="20"/>
              </w:rPr>
              <w:t>n/a</w:t>
            </w:r>
          </w:p>
        </w:tc>
        <w:tc>
          <w:tcPr>
            <w:tcW w:w="1623" w:type="dxa"/>
            <w:shd w:val="clear" w:color="auto" w:fill="auto"/>
            <w:vAlign w:val="center"/>
          </w:tcPr>
          <w:p w14:paraId="0EF93934" w14:textId="77777777" w:rsidR="00DA21FF" w:rsidRPr="0007417D" w:rsidRDefault="00DA21FF" w:rsidP="00E05F6E">
            <w:pPr>
              <w:jc w:val="center"/>
              <w:rPr>
                <w:sz w:val="20"/>
              </w:rPr>
            </w:pPr>
            <w:r w:rsidRPr="0007417D">
              <w:rPr>
                <w:sz w:val="20"/>
              </w:rPr>
              <w:t xml:space="preserve">TT </w:t>
            </w:r>
          </w:p>
        </w:tc>
        <w:tc>
          <w:tcPr>
            <w:tcW w:w="1217" w:type="dxa"/>
            <w:gridSpan w:val="2"/>
            <w:shd w:val="clear" w:color="auto" w:fill="auto"/>
            <w:vAlign w:val="center"/>
          </w:tcPr>
          <w:p w14:paraId="0A1442BB" w14:textId="77777777" w:rsidR="00DA21FF" w:rsidRPr="0007417D" w:rsidRDefault="00DA21FF" w:rsidP="00E05F6E">
            <w:pPr>
              <w:jc w:val="center"/>
              <w:rPr>
                <w:sz w:val="20"/>
              </w:rPr>
            </w:pPr>
            <w:r>
              <w:rPr>
                <w:sz w:val="20"/>
              </w:rPr>
              <w:t>0.27</w:t>
            </w:r>
          </w:p>
          <w:p w14:paraId="4650B44F" w14:textId="77777777" w:rsidR="00DA21FF" w:rsidRPr="0007417D" w:rsidRDefault="00DA21FF" w:rsidP="00E05F6E">
            <w:pPr>
              <w:jc w:val="center"/>
              <w:rPr>
                <w:sz w:val="20"/>
              </w:rPr>
            </w:pPr>
            <w:r w:rsidRPr="0007417D">
              <w:rPr>
                <w:sz w:val="20"/>
              </w:rPr>
              <w:t>Highest</w:t>
            </w:r>
          </w:p>
        </w:tc>
        <w:tc>
          <w:tcPr>
            <w:tcW w:w="1217" w:type="dxa"/>
            <w:gridSpan w:val="2"/>
            <w:shd w:val="clear" w:color="auto" w:fill="auto"/>
            <w:vAlign w:val="center"/>
          </w:tcPr>
          <w:p w14:paraId="21221344" w14:textId="77777777" w:rsidR="00DA21FF" w:rsidRPr="0007417D" w:rsidRDefault="00DA21FF" w:rsidP="00E05F6E">
            <w:pPr>
              <w:jc w:val="center"/>
              <w:rPr>
                <w:sz w:val="20"/>
              </w:rPr>
            </w:pPr>
            <w:r>
              <w:rPr>
                <w:sz w:val="20"/>
              </w:rPr>
              <w:t>0.02 - 0.27</w:t>
            </w:r>
          </w:p>
          <w:p w14:paraId="3349E601" w14:textId="77777777" w:rsidR="00DA21FF" w:rsidRPr="0007417D" w:rsidRDefault="00DA21FF" w:rsidP="00E05F6E">
            <w:pPr>
              <w:jc w:val="center"/>
              <w:rPr>
                <w:sz w:val="20"/>
              </w:rPr>
            </w:pPr>
            <w:r w:rsidRPr="0007417D">
              <w:rPr>
                <w:sz w:val="20"/>
              </w:rPr>
              <w:t>Low - High</w:t>
            </w:r>
          </w:p>
        </w:tc>
        <w:tc>
          <w:tcPr>
            <w:tcW w:w="1014" w:type="dxa"/>
            <w:shd w:val="clear" w:color="auto" w:fill="auto"/>
            <w:vAlign w:val="center"/>
          </w:tcPr>
          <w:p w14:paraId="35098716" w14:textId="77777777" w:rsidR="00DA21FF" w:rsidRPr="0007417D" w:rsidRDefault="00DA21FF" w:rsidP="00E05F6E">
            <w:pPr>
              <w:jc w:val="center"/>
              <w:rPr>
                <w:sz w:val="20"/>
              </w:rPr>
            </w:pPr>
            <w:r>
              <w:rPr>
                <w:sz w:val="20"/>
              </w:rPr>
              <w:t>Yes</w:t>
            </w:r>
          </w:p>
        </w:tc>
        <w:tc>
          <w:tcPr>
            <w:tcW w:w="3449" w:type="dxa"/>
            <w:shd w:val="clear" w:color="auto" w:fill="auto"/>
            <w:vAlign w:val="center"/>
          </w:tcPr>
          <w:p w14:paraId="49901ED9" w14:textId="77777777" w:rsidR="00DA21FF" w:rsidRPr="0007417D" w:rsidRDefault="00DA21FF" w:rsidP="00E05F6E">
            <w:pPr>
              <w:jc w:val="center"/>
              <w:rPr>
                <w:sz w:val="20"/>
              </w:rPr>
            </w:pPr>
            <w:r w:rsidRPr="0007417D">
              <w:rPr>
                <w:sz w:val="20"/>
              </w:rPr>
              <w:t>Soil run-off</w:t>
            </w:r>
          </w:p>
        </w:tc>
      </w:tr>
      <w:tr w:rsidR="00DA21FF" w:rsidRPr="0007417D" w14:paraId="2FF816BA" w14:textId="77777777" w:rsidTr="00E05F6E">
        <w:trPr>
          <w:trHeight w:val="764"/>
        </w:trPr>
        <w:tc>
          <w:tcPr>
            <w:tcW w:w="1395" w:type="dxa"/>
            <w:shd w:val="clear" w:color="auto" w:fill="auto"/>
            <w:vAlign w:val="center"/>
          </w:tcPr>
          <w:p w14:paraId="41FFDF5A" w14:textId="77777777" w:rsidR="00DA21FF" w:rsidRPr="0007417D" w:rsidRDefault="00DA21FF" w:rsidP="00E05F6E">
            <w:pPr>
              <w:jc w:val="center"/>
              <w:rPr>
                <w:sz w:val="20"/>
              </w:rPr>
            </w:pPr>
          </w:p>
          <w:p w14:paraId="10286719" w14:textId="77777777" w:rsidR="00DA21FF" w:rsidRDefault="00DA21FF" w:rsidP="00E05F6E">
            <w:pPr>
              <w:jc w:val="center"/>
              <w:rPr>
                <w:sz w:val="20"/>
              </w:rPr>
            </w:pPr>
            <w:r w:rsidRPr="0007417D">
              <w:rPr>
                <w:sz w:val="20"/>
              </w:rPr>
              <w:t>Copper</w:t>
            </w:r>
          </w:p>
          <w:p w14:paraId="7907F708" w14:textId="77777777" w:rsidR="00DA21FF" w:rsidRDefault="00DA21FF" w:rsidP="00E05F6E">
            <w:pPr>
              <w:rPr>
                <w:sz w:val="20"/>
              </w:rPr>
            </w:pPr>
          </w:p>
          <w:p w14:paraId="419CDCA7" w14:textId="77777777" w:rsidR="00DA21FF" w:rsidRPr="0007417D" w:rsidRDefault="00DA21FF" w:rsidP="00E05F6E">
            <w:pPr>
              <w:rPr>
                <w:sz w:val="20"/>
              </w:rPr>
            </w:pPr>
          </w:p>
        </w:tc>
        <w:tc>
          <w:tcPr>
            <w:tcW w:w="1319" w:type="dxa"/>
            <w:shd w:val="clear" w:color="auto" w:fill="auto"/>
            <w:vAlign w:val="center"/>
          </w:tcPr>
          <w:p w14:paraId="39C9B821" w14:textId="77777777" w:rsidR="00DA21FF" w:rsidRPr="0007417D" w:rsidRDefault="00DA21FF" w:rsidP="00E05F6E">
            <w:pPr>
              <w:jc w:val="center"/>
              <w:rPr>
                <w:sz w:val="20"/>
              </w:rPr>
            </w:pPr>
            <w:r w:rsidRPr="0007417D">
              <w:rPr>
                <w:sz w:val="20"/>
              </w:rPr>
              <w:t>1.3</w:t>
            </w:r>
          </w:p>
        </w:tc>
        <w:tc>
          <w:tcPr>
            <w:tcW w:w="1623" w:type="dxa"/>
            <w:shd w:val="clear" w:color="auto" w:fill="auto"/>
            <w:vAlign w:val="center"/>
          </w:tcPr>
          <w:p w14:paraId="0AA98C14" w14:textId="77777777" w:rsidR="00DA21FF" w:rsidRPr="0007417D" w:rsidRDefault="00DA21FF" w:rsidP="00E05F6E">
            <w:pPr>
              <w:jc w:val="center"/>
              <w:rPr>
                <w:sz w:val="20"/>
              </w:rPr>
            </w:pPr>
            <w:r w:rsidRPr="0007417D">
              <w:rPr>
                <w:sz w:val="20"/>
              </w:rPr>
              <w:t>Al = 1.3 ppm</w:t>
            </w:r>
          </w:p>
        </w:tc>
        <w:tc>
          <w:tcPr>
            <w:tcW w:w="1217" w:type="dxa"/>
            <w:gridSpan w:val="2"/>
            <w:shd w:val="clear" w:color="auto" w:fill="auto"/>
            <w:vAlign w:val="center"/>
          </w:tcPr>
          <w:p w14:paraId="256F96B0" w14:textId="77777777" w:rsidR="00DA21FF" w:rsidRPr="0007417D" w:rsidRDefault="00DA21FF" w:rsidP="00E05F6E">
            <w:pPr>
              <w:jc w:val="center"/>
              <w:rPr>
                <w:sz w:val="20"/>
              </w:rPr>
            </w:pPr>
            <w:r w:rsidRPr="0007417D">
              <w:rPr>
                <w:sz w:val="20"/>
              </w:rPr>
              <w:t>90</w:t>
            </w:r>
            <w:r w:rsidRPr="0007417D">
              <w:rPr>
                <w:sz w:val="20"/>
                <w:vertAlign w:val="superscript"/>
              </w:rPr>
              <w:t>th</w:t>
            </w:r>
            <w:r w:rsidRPr="0007417D">
              <w:rPr>
                <w:sz w:val="20"/>
              </w:rPr>
              <w:t xml:space="preserve"> %= 0.0</w:t>
            </w:r>
            <w:r>
              <w:rPr>
                <w:sz w:val="20"/>
              </w:rPr>
              <w:t>8</w:t>
            </w:r>
            <w:r w:rsidRPr="0007417D">
              <w:rPr>
                <w:sz w:val="20"/>
              </w:rPr>
              <w:t>ppm</w:t>
            </w:r>
          </w:p>
        </w:tc>
        <w:tc>
          <w:tcPr>
            <w:tcW w:w="1217" w:type="dxa"/>
            <w:gridSpan w:val="2"/>
            <w:shd w:val="clear" w:color="auto" w:fill="auto"/>
            <w:vAlign w:val="center"/>
          </w:tcPr>
          <w:p w14:paraId="44F492FD" w14:textId="77777777" w:rsidR="00DA21FF" w:rsidRPr="0007417D" w:rsidRDefault="00DA21FF" w:rsidP="00E05F6E">
            <w:pPr>
              <w:jc w:val="center"/>
              <w:rPr>
                <w:sz w:val="20"/>
              </w:rPr>
            </w:pPr>
            <w:r>
              <w:rPr>
                <w:sz w:val="20"/>
              </w:rPr>
              <w:t>0.002 – 0.16</w:t>
            </w:r>
          </w:p>
          <w:p w14:paraId="75B7BE76" w14:textId="77777777" w:rsidR="00DA21FF" w:rsidRDefault="00DA21FF" w:rsidP="00E05F6E">
            <w:pPr>
              <w:jc w:val="center"/>
            </w:pPr>
            <w:r w:rsidRPr="0007417D">
              <w:rPr>
                <w:sz w:val="20"/>
              </w:rPr>
              <w:t>Low - High</w:t>
            </w:r>
          </w:p>
        </w:tc>
        <w:tc>
          <w:tcPr>
            <w:tcW w:w="1014" w:type="dxa"/>
            <w:shd w:val="clear" w:color="auto" w:fill="auto"/>
            <w:vAlign w:val="center"/>
          </w:tcPr>
          <w:p w14:paraId="2512AACE" w14:textId="77777777" w:rsidR="00DA21FF" w:rsidRDefault="00DA21FF" w:rsidP="00E05F6E">
            <w:pPr>
              <w:jc w:val="center"/>
            </w:pPr>
            <w:r>
              <w:rPr>
                <w:sz w:val="20"/>
              </w:rPr>
              <w:t>yes</w:t>
            </w:r>
          </w:p>
        </w:tc>
        <w:tc>
          <w:tcPr>
            <w:tcW w:w="3449" w:type="dxa"/>
            <w:shd w:val="clear" w:color="auto" w:fill="auto"/>
            <w:vAlign w:val="center"/>
          </w:tcPr>
          <w:p w14:paraId="582F7714" w14:textId="77777777" w:rsidR="00DA21FF" w:rsidRPr="0007417D" w:rsidRDefault="00DA21FF" w:rsidP="00E05F6E">
            <w:pPr>
              <w:jc w:val="center"/>
              <w:rPr>
                <w:sz w:val="20"/>
              </w:rPr>
            </w:pPr>
            <w:r w:rsidRPr="0007417D">
              <w:rPr>
                <w:sz w:val="20"/>
              </w:rPr>
              <w:t>Corrosion of household plumbing systems; Erosion of natural deposits; Leaching from wood preservatives</w:t>
            </w:r>
          </w:p>
        </w:tc>
      </w:tr>
      <w:tr w:rsidR="00DA21FF" w14:paraId="64160642" w14:textId="77777777" w:rsidTr="00E05F6E">
        <w:trPr>
          <w:trHeight w:val="774"/>
        </w:trPr>
        <w:tc>
          <w:tcPr>
            <w:tcW w:w="1395" w:type="dxa"/>
            <w:shd w:val="clear" w:color="auto" w:fill="auto"/>
            <w:vAlign w:val="center"/>
          </w:tcPr>
          <w:p w14:paraId="5B8CBCF4" w14:textId="77777777" w:rsidR="00DA21FF" w:rsidRPr="0007417D" w:rsidRDefault="00DA21FF" w:rsidP="00E05F6E">
            <w:pPr>
              <w:jc w:val="center"/>
              <w:rPr>
                <w:sz w:val="20"/>
              </w:rPr>
            </w:pPr>
          </w:p>
          <w:p w14:paraId="4139BF3F" w14:textId="77777777" w:rsidR="00DA21FF" w:rsidRDefault="00DA21FF" w:rsidP="00E05F6E">
            <w:pPr>
              <w:jc w:val="center"/>
              <w:rPr>
                <w:sz w:val="20"/>
              </w:rPr>
            </w:pPr>
            <w:r w:rsidRPr="0007417D">
              <w:rPr>
                <w:sz w:val="20"/>
              </w:rPr>
              <w:t>Lead</w:t>
            </w:r>
          </w:p>
          <w:p w14:paraId="5F6AAF39" w14:textId="77777777" w:rsidR="00DA21FF" w:rsidRDefault="00DA21FF" w:rsidP="00E05F6E">
            <w:pPr>
              <w:rPr>
                <w:sz w:val="20"/>
              </w:rPr>
            </w:pPr>
          </w:p>
          <w:p w14:paraId="1AD107A9" w14:textId="77777777" w:rsidR="00DA21FF" w:rsidRPr="00956C5B" w:rsidRDefault="00DA21FF" w:rsidP="00E05F6E">
            <w:pPr>
              <w:rPr>
                <w:sz w:val="20"/>
              </w:rPr>
            </w:pPr>
          </w:p>
        </w:tc>
        <w:tc>
          <w:tcPr>
            <w:tcW w:w="1319" w:type="dxa"/>
            <w:shd w:val="clear" w:color="auto" w:fill="auto"/>
            <w:vAlign w:val="center"/>
          </w:tcPr>
          <w:p w14:paraId="601F8BB9" w14:textId="77777777" w:rsidR="00DA21FF" w:rsidRPr="0007417D" w:rsidRDefault="00DA21FF" w:rsidP="00E05F6E">
            <w:pPr>
              <w:jc w:val="center"/>
              <w:rPr>
                <w:sz w:val="20"/>
              </w:rPr>
            </w:pPr>
            <w:r w:rsidRPr="0007417D">
              <w:rPr>
                <w:sz w:val="20"/>
              </w:rPr>
              <w:t>0</w:t>
            </w:r>
          </w:p>
        </w:tc>
        <w:tc>
          <w:tcPr>
            <w:tcW w:w="1623" w:type="dxa"/>
            <w:shd w:val="clear" w:color="auto" w:fill="auto"/>
            <w:vAlign w:val="center"/>
          </w:tcPr>
          <w:p w14:paraId="3540344A" w14:textId="77777777" w:rsidR="00DA21FF" w:rsidRPr="0007417D" w:rsidRDefault="00DA21FF" w:rsidP="00E05F6E">
            <w:pPr>
              <w:jc w:val="center"/>
              <w:rPr>
                <w:sz w:val="20"/>
              </w:rPr>
            </w:pPr>
            <w:r w:rsidRPr="0007417D">
              <w:rPr>
                <w:sz w:val="20"/>
              </w:rPr>
              <w:t>Al = 15 ppb</w:t>
            </w:r>
          </w:p>
        </w:tc>
        <w:tc>
          <w:tcPr>
            <w:tcW w:w="1217" w:type="dxa"/>
            <w:gridSpan w:val="2"/>
            <w:shd w:val="clear" w:color="auto" w:fill="auto"/>
            <w:vAlign w:val="center"/>
          </w:tcPr>
          <w:p w14:paraId="7B22CCED" w14:textId="77777777" w:rsidR="00DA21FF" w:rsidRPr="0007417D" w:rsidRDefault="00DA21FF" w:rsidP="00E05F6E">
            <w:pPr>
              <w:jc w:val="center"/>
              <w:rPr>
                <w:sz w:val="20"/>
              </w:rPr>
            </w:pPr>
            <w:r w:rsidRPr="0007417D">
              <w:rPr>
                <w:sz w:val="20"/>
              </w:rPr>
              <w:t>90</w:t>
            </w:r>
            <w:r w:rsidRPr="0007417D">
              <w:rPr>
                <w:sz w:val="20"/>
                <w:vertAlign w:val="superscript"/>
              </w:rPr>
              <w:t>th</w:t>
            </w:r>
            <w:r w:rsidRPr="0007417D">
              <w:rPr>
                <w:sz w:val="20"/>
              </w:rPr>
              <w:t xml:space="preserve"> %=</w:t>
            </w:r>
          </w:p>
          <w:p w14:paraId="011C9C55" w14:textId="77777777" w:rsidR="00DA21FF" w:rsidRPr="0007417D" w:rsidRDefault="00DA21FF" w:rsidP="00E05F6E">
            <w:pPr>
              <w:jc w:val="center"/>
              <w:rPr>
                <w:sz w:val="20"/>
              </w:rPr>
            </w:pPr>
            <w:r w:rsidRPr="0007417D">
              <w:rPr>
                <w:sz w:val="20"/>
              </w:rPr>
              <w:t xml:space="preserve"> </w:t>
            </w:r>
            <w:r>
              <w:rPr>
                <w:sz w:val="20"/>
              </w:rPr>
              <w:t>1.0</w:t>
            </w:r>
            <w:r w:rsidRPr="0007417D">
              <w:rPr>
                <w:sz w:val="20"/>
              </w:rPr>
              <w:t xml:space="preserve"> ppb</w:t>
            </w:r>
          </w:p>
        </w:tc>
        <w:tc>
          <w:tcPr>
            <w:tcW w:w="1217" w:type="dxa"/>
            <w:gridSpan w:val="2"/>
            <w:shd w:val="clear" w:color="auto" w:fill="auto"/>
            <w:vAlign w:val="center"/>
          </w:tcPr>
          <w:p w14:paraId="41A622A6" w14:textId="77777777" w:rsidR="00DA21FF" w:rsidRPr="0007417D" w:rsidRDefault="00DA21FF" w:rsidP="00E05F6E">
            <w:pPr>
              <w:jc w:val="center"/>
              <w:rPr>
                <w:sz w:val="20"/>
              </w:rPr>
            </w:pPr>
            <w:r>
              <w:rPr>
                <w:sz w:val="20"/>
              </w:rPr>
              <w:t>ND – 1.0</w:t>
            </w:r>
          </w:p>
          <w:p w14:paraId="1D8C15DF" w14:textId="77777777" w:rsidR="00DA21FF" w:rsidRDefault="00DA21FF" w:rsidP="00E05F6E">
            <w:pPr>
              <w:jc w:val="center"/>
            </w:pPr>
            <w:r w:rsidRPr="0007417D">
              <w:rPr>
                <w:sz w:val="20"/>
              </w:rPr>
              <w:t>Low - High</w:t>
            </w:r>
          </w:p>
        </w:tc>
        <w:tc>
          <w:tcPr>
            <w:tcW w:w="1014" w:type="dxa"/>
            <w:shd w:val="clear" w:color="auto" w:fill="auto"/>
            <w:vAlign w:val="center"/>
          </w:tcPr>
          <w:p w14:paraId="222FC99B" w14:textId="77777777" w:rsidR="00DA21FF" w:rsidRDefault="00DA21FF" w:rsidP="00E05F6E">
            <w:pPr>
              <w:jc w:val="center"/>
            </w:pPr>
            <w:r>
              <w:rPr>
                <w:sz w:val="20"/>
              </w:rPr>
              <w:t>yes</w:t>
            </w:r>
          </w:p>
        </w:tc>
        <w:tc>
          <w:tcPr>
            <w:tcW w:w="3449" w:type="dxa"/>
            <w:shd w:val="clear" w:color="auto" w:fill="auto"/>
            <w:vAlign w:val="center"/>
          </w:tcPr>
          <w:p w14:paraId="1E55FEA0" w14:textId="77777777" w:rsidR="00DA21FF" w:rsidRDefault="00DA21FF" w:rsidP="00E05F6E">
            <w:pPr>
              <w:jc w:val="center"/>
            </w:pPr>
            <w:r w:rsidRPr="0007417D">
              <w:rPr>
                <w:sz w:val="20"/>
              </w:rPr>
              <w:t>Corrosion of household plumbing systems; Erosion of natural deposits.</w:t>
            </w:r>
          </w:p>
        </w:tc>
      </w:tr>
      <w:tr w:rsidR="00DA21FF" w14:paraId="6E486BEF" w14:textId="77777777" w:rsidTr="00E05F6E">
        <w:trPr>
          <w:trHeight w:val="573"/>
        </w:trPr>
        <w:tc>
          <w:tcPr>
            <w:tcW w:w="1395" w:type="dxa"/>
            <w:shd w:val="clear" w:color="auto" w:fill="auto"/>
            <w:vAlign w:val="center"/>
          </w:tcPr>
          <w:p w14:paraId="3BFAEC6A" w14:textId="77777777" w:rsidR="00DA21FF" w:rsidRPr="0007417D" w:rsidRDefault="00DA21FF" w:rsidP="00E05F6E">
            <w:pPr>
              <w:jc w:val="center"/>
              <w:rPr>
                <w:sz w:val="20"/>
              </w:rPr>
            </w:pPr>
            <w:r w:rsidRPr="0007417D">
              <w:rPr>
                <w:sz w:val="20"/>
              </w:rPr>
              <w:t>Sodium</w:t>
            </w:r>
          </w:p>
        </w:tc>
        <w:tc>
          <w:tcPr>
            <w:tcW w:w="1319" w:type="dxa"/>
            <w:shd w:val="clear" w:color="auto" w:fill="auto"/>
            <w:vAlign w:val="center"/>
          </w:tcPr>
          <w:p w14:paraId="244C8191" w14:textId="77777777" w:rsidR="00DA21FF" w:rsidRPr="0007417D" w:rsidRDefault="00DA21FF" w:rsidP="00E05F6E">
            <w:pPr>
              <w:jc w:val="center"/>
              <w:rPr>
                <w:sz w:val="20"/>
              </w:rPr>
            </w:pPr>
            <w:r w:rsidRPr="0007417D">
              <w:rPr>
                <w:sz w:val="20"/>
              </w:rPr>
              <w:t>n/a</w:t>
            </w:r>
          </w:p>
        </w:tc>
        <w:tc>
          <w:tcPr>
            <w:tcW w:w="1623" w:type="dxa"/>
            <w:shd w:val="clear" w:color="auto" w:fill="auto"/>
            <w:vAlign w:val="center"/>
          </w:tcPr>
          <w:p w14:paraId="26135019" w14:textId="77777777" w:rsidR="00DA21FF" w:rsidRPr="0007417D" w:rsidRDefault="00DA21FF" w:rsidP="00E05F6E">
            <w:pPr>
              <w:jc w:val="center"/>
              <w:rPr>
                <w:sz w:val="20"/>
              </w:rPr>
            </w:pPr>
            <w:r w:rsidRPr="0007417D">
              <w:rPr>
                <w:sz w:val="20"/>
              </w:rPr>
              <w:t>n/a</w:t>
            </w:r>
          </w:p>
        </w:tc>
        <w:tc>
          <w:tcPr>
            <w:tcW w:w="1217" w:type="dxa"/>
            <w:gridSpan w:val="2"/>
            <w:shd w:val="clear" w:color="auto" w:fill="auto"/>
            <w:vAlign w:val="center"/>
          </w:tcPr>
          <w:p w14:paraId="4DF4A04E" w14:textId="77777777" w:rsidR="00DA21FF" w:rsidRPr="0007417D" w:rsidRDefault="00DA21FF" w:rsidP="00E05F6E">
            <w:pPr>
              <w:jc w:val="center"/>
              <w:rPr>
                <w:sz w:val="20"/>
              </w:rPr>
            </w:pPr>
            <w:r>
              <w:rPr>
                <w:sz w:val="20"/>
              </w:rPr>
              <w:t>1.52</w:t>
            </w:r>
            <w:r w:rsidRPr="0007417D">
              <w:rPr>
                <w:sz w:val="20"/>
              </w:rPr>
              <w:t xml:space="preserve"> ppm</w:t>
            </w:r>
          </w:p>
        </w:tc>
        <w:tc>
          <w:tcPr>
            <w:tcW w:w="1217" w:type="dxa"/>
            <w:gridSpan w:val="2"/>
            <w:shd w:val="clear" w:color="auto" w:fill="auto"/>
            <w:vAlign w:val="center"/>
          </w:tcPr>
          <w:p w14:paraId="3CB6A647" w14:textId="77777777" w:rsidR="00DA21FF" w:rsidRPr="00BB7FFC" w:rsidRDefault="00DA21FF" w:rsidP="00E05F6E">
            <w:pPr>
              <w:jc w:val="center"/>
            </w:pPr>
          </w:p>
        </w:tc>
        <w:tc>
          <w:tcPr>
            <w:tcW w:w="1014" w:type="dxa"/>
            <w:shd w:val="clear" w:color="auto" w:fill="auto"/>
            <w:vAlign w:val="center"/>
          </w:tcPr>
          <w:p w14:paraId="4615D8BF" w14:textId="77777777" w:rsidR="00DA21FF" w:rsidRDefault="00DA21FF" w:rsidP="00E05F6E">
            <w:pPr>
              <w:jc w:val="center"/>
            </w:pPr>
            <w:r>
              <w:rPr>
                <w:sz w:val="20"/>
              </w:rPr>
              <w:t>yes</w:t>
            </w:r>
          </w:p>
        </w:tc>
        <w:tc>
          <w:tcPr>
            <w:tcW w:w="3449" w:type="dxa"/>
            <w:shd w:val="clear" w:color="auto" w:fill="auto"/>
            <w:vAlign w:val="center"/>
          </w:tcPr>
          <w:p w14:paraId="4F28E0E4" w14:textId="77777777" w:rsidR="00DA21FF" w:rsidRPr="0007417D" w:rsidRDefault="00DA21FF" w:rsidP="00E05F6E">
            <w:pPr>
              <w:jc w:val="center"/>
              <w:rPr>
                <w:sz w:val="20"/>
              </w:rPr>
            </w:pPr>
            <w:r w:rsidRPr="0007417D">
              <w:rPr>
                <w:sz w:val="20"/>
              </w:rPr>
              <w:t>Discharge from petroleum and metal refineries; Erosion of natural deposits; Discharge from mines</w:t>
            </w:r>
          </w:p>
        </w:tc>
      </w:tr>
      <w:tr w:rsidR="00DA21FF" w14:paraId="4642F9C0" w14:textId="77777777" w:rsidTr="00E05F6E">
        <w:trPr>
          <w:trHeight w:val="382"/>
        </w:trPr>
        <w:tc>
          <w:tcPr>
            <w:tcW w:w="1395" w:type="dxa"/>
            <w:shd w:val="clear" w:color="auto" w:fill="auto"/>
            <w:vAlign w:val="center"/>
          </w:tcPr>
          <w:p w14:paraId="6B61993F" w14:textId="77777777" w:rsidR="00DA21FF" w:rsidRPr="0007417D" w:rsidRDefault="00DA21FF" w:rsidP="00E05F6E">
            <w:pPr>
              <w:jc w:val="center"/>
              <w:rPr>
                <w:sz w:val="20"/>
              </w:rPr>
            </w:pPr>
            <w:r w:rsidRPr="0007417D">
              <w:rPr>
                <w:sz w:val="20"/>
              </w:rPr>
              <w:t>Fluoride</w:t>
            </w:r>
          </w:p>
        </w:tc>
        <w:tc>
          <w:tcPr>
            <w:tcW w:w="1319" w:type="dxa"/>
            <w:shd w:val="clear" w:color="auto" w:fill="auto"/>
            <w:vAlign w:val="center"/>
          </w:tcPr>
          <w:p w14:paraId="1A40F59C" w14:textId="77777777" w:rsidR="00DA21FF" w:rsidRPr="0007417D" w:rsidRDefault="00DA21FF" w:rsidP="00E05F6E">
            <w:pPr>
              <w:jc w:val="center"/>
              <w:rPr>
                <w:sz w:val="20"/>
              </w:rPr>
            </w:pPr>
            <w:r w:rsidRPr="0007417D">
              <w:rPr>
                <w:sz w:val="20"/>
              </w:rPr>
              <w:t>4 ppm</w:t>
            </w:r>
          </w:p>
        </w:tc>
        <w:tc>
          <w:tcPr>
            <w:tcW w:w="1623" w:type="dxa"/>
            <w:shd w:val="clear" w:color="auto" w:fill="auto"/>
            <w:vAlign w:val="center"/>
          </w:tcPr>
          <w:p w14:paraId="491B0E8E" w14:textId="77777777" w:rsidR="00DA21FF" w:rsidRPr="0007417D" w:rsidRDefault="00DA21FF" w:rsidP="00E05F6E">
            <w:pPr>
              <w:jc w:val="center"/>
              <w:rPr>
                <w:sz w:val="20"/>
              </w:rPr>
            </w:pPr>
            <w:r w:rsidRPr="0007417D">
              <w:rPr>
                <w:sz w:val="20"/>
              </w:rPr>
              <w:t>4 ppm</w:t>
            </w:r>
          </w:p>
        </w:tc>
        <w:tc>
          <w:tcPr>
            <w:tcW w:w="1217" w:type="dxa"/>
            <w:gridSpan w:val="2"/>
            <w:shd w:val="clear" w:color="auto" w:fill="auto"/>
            <w:vAlign w:val="center"/>
          </w:tcPr>
          <w:p w14:paraId="2E0A2FDC" w14:textId="77777777" w:rsidR="00DA21FF" w:rsidRPr="0007417D" w:rsidRDefault="00DA21FF" w:rsidP="00E05F6E">
            <w:pPr>
              <w:rPr>
                <w:sz w:val="20"/>
              </w:rPr>
            </w:pPr>
            <w:r>
              <w:rPr>
                <w:sz w:val="20"/>
              </w:rPr>
              <w:t>.66</w:t>
            </w:r>
            <w:r w:rsidRPr="0007417D">
              <w:rPr>
                <w:sz w:val="20"/>
              </w:rPr>
              <w:t xml:space="preserve"> ppm</w:t>
            </w:r>
            <w:r w:rsidRPr="0007417D">
              <w:rPr>
                <w:sz w:val="20"/>
              </w:rPr>
              <w:br/>
              <w:t>Avg.</w:t>
            </w:r>
          </w:p>
        </w:tc>
        <w:tc>
          <w:tcPr>
            <w:tcW w:w="1217" w:type="dxa"/>
            <w:gridSpan w:val="2"/>
            <w:shd w:val="clear" w:color="auto" w:fill="auto"/>
            <w:vAlign w:val="center"/>
          </w:tcPr>
          <w:p w14:paraId="57DACF55" w14:textId="77777777" w:rsidR="00DA21FF" w:rsidRPr="0007417D" w:rsidRDefault="00DA21FF" w:rsidP="00E05F6E">
            <w:pPr>
              <w:jc w:val="center"/>
              <w:rPr>
                <w:sz w:val="20"/>
              </w:rPr>
            </w:pPr>
            <w:r>
              <w:rPr>
                <w:sz w:val="20"/>
              </w:rPr>
              <w:t>.34/.80</w:t>
            </w:r>
          </w:p>
          <w:p w14:paraId="0050C381" w14:textId="77777777" w:rsidR="00DA21FF" w:rsidRPr="0007417D" w:rsidRDefault="00DA21FF" w:rsidP="00E05F6E">
            <w:pPr>
              <w:jc w:val="center"/>
              <w:rPr>
                <w:sz w:val="20"/>
              </w:rPr>
            </w:pPr>
            <w:r w:rsidRPr="0007417D">
              <w:rPr>
                <w:sz w:val="20"/>
              </w:rPr>
              <w:t>Low - High</w:t>
            </w:r>
          </w:p>
        </w:tc>
        <w:tc>
          <w:tcPr>
            <w:tcW w:w="1014" w:type="dxa"/>
            <w:shd w:val="clear" w:color="auto" w:fill="auto"/>
            <w:vAlign w:val="center"/>
          </w:tcPr>
          <w:p w14:paraId="3568D440" w14:textId="77777777" w:rsidR="00DA21FF" w:rsidRDefault="00DA21FF" w:rsidP="00E05F6E">
            <w:r>
              <w:rPr>
                <w:sz w:val="20"/>
              </w:rPr>
              <w:t xml:space="preserve">      yes</w:t>
            </w:r>
          </w:p>
        </w:tc>
        <w:tc>
          <w:tcPr>
            <w:tcW w:w="3449" w:type="dxa"/>
            <w:shd w:val="clear" w:color="auto" w:fill="auto"/>
            <w:vAlign w:val="center"/>
          </w:tcPr>
          <w:p w14:paraId="11A3716C" w14:textId="77777777" w:rsidR="00DA21FF" w:rsidRPr="0007417D" w:rsidRDefault="00DA21FF" w:rsidP="00E05F6E">
            <w:pPr>
              <w:jc w:val="center"/>
              <w:rPr>
                <w:sz w:val="20"/>
              </w:rPr>
            </w:pPr>
            <w:r w:rsidRPr="0007417D">
              <w:rPr>
                <w:sz w:val="20"/>
              </w:rPr>
              <w:t>Water additive for strong teeth, erosion of natural deposits</w:t>
            </w:r>
          </w:p>
        </w:tc>
      </w:tr>
      <w:tr w:rsidR="00DA21FF" w14:paraId="15BF77CD" w14:textId="77777777" w:rsidTr="00E05F6E">
        <w:trPr>
          <w:trHeight w:val="57"/>
        </w:trPr>
        <w:tc>
          <w:tcPr>
            <w:tcW w:w="1395" w:type="dxa"/>
            <w:shd w:val="clear" w:color="auto" w:fill="auto"/>
            <w:vAlign w:val="center"/>
          </w:tcPr>
          <w:p w14:paraId="12741976" w14:textId="77777777" w:rsidR="00DA21FF" w:rsidRPr="0007417D" w:rsidRDefault="00DA21FF" w:rsidP="00E05F6E">
            <w:pPr>
              <w:jc w:val="center"/>
              <w:rPr>
                <w:sz w:val="20"/>
              </w:rPr>
            </w:pPr>
            <w:r w:rsidRPr="0007417D">
              <w:rPr>
                <w:sz w:val="20"/>
              </w:rPr>
              <w:t>TTHM’s</w:t>
            </w:r>
          </w:p>
          <w:p w14:paraId="0B018E20" w14:textId="77777777" w:rsidR="00DA21FF" w:rsidRPr="0007417D" w:rsidRDefault="00DA21FF" w:rsidP="00E05F6E">
            <w:pPr>
              <w:jc w:val="center"/>
              <w:rPr>
                <w:sz w:val="20"/>
              </w:rPr>
            </w:pPr>
            <w:r w:rsidRPr="0007417D">
              <w:rPr>
                <w:sz w:val="20"/>
              </w:rPr>
              <w:t>Trihalomethanes</w:t>
            </w:r>
          </w:p>
          <w:p w14:paraId="55B61553" w14:textId="77777777" w:rsidR="00DA21FF" w:rsidRPr="0007417D" w:rsidRDefault="00DA21FF" w:rsidP="00E05F6E">
            <w:pPr>
              <w:jc w:val="center"/>
              <w:rPr>
                <w:sz w:val="20"/>
              </w:rPr>
            </w:pPr>
          </w:p>
        </w:tc>
        <w:tc>
          <w:tcPr>
            <w:tcW w:w="1319" w:type="dxa"/>
            <w:shd w:val="clear" w:color="auto" w:fill="auto"/>
            <w:vAlign w:val="center"/>
          </w:tcPr>
          <w:p w14:paraId="455CF7BB" w14:textId="77777777" w:rsidR="00DA21FF" w:rsidRPr="0007417D" w:rsidRDefault="00DA21FF" w:rsidP="00E05F6E">
            <w:pPr>
              <w:jc w:val="center"/>
              <w:rPr>
                <w:sz w:val="20"/>
              </w:rPr>
            </w:pPr>
            <w:r w:rsidRPr="0007417D">
              <w:rPr>
                <w:sz w:val="20"/>
              </w:rPr>
              <w:t>n/a</w:t>
            </w:r>
          </w:p>
        </w:tc>
        <w:tc>
          <w:tcPr>
            <w:tcW w:w="1623" w:type="dxa"/>
            <w:shd w:val="clear" w:color="auto" w:fill="auto"/>
            <w:vAlign w:val="center"/>
          </w:tcPr>
          <w:p w14:paraId="1A988DF6" w14:textId="77777777" w:rsidR="00DA21FF" w:rsidRDefault="00DA21FF" w:rsidP="00E05F6E">
            <w:pPr>
              <w:jc w:val="center"/>
            </w:pPr>
            <w:r w:rsidRPr="0007417D">
              <w:rPr>
                <w:sz w:val="20"/>
              </w:rPr>
              <w:t>80 ppb</w:t>
            </w:r>
          </w:p>
        </w:tc>
        <w:tc>
          <w:tcPr>
            <w:tcW w:w="1217" w:type="dxa"/>
            <w:gridSpan w:val="2"/>
            <w:shd w:val="clear" w:color="auto" w:fill="auto"/>
            <w:vAlign w:val="center"/>
          </w:tcPr>
          <w:p w14:paraId="698AE5B7" w14:textId="77777777" w:rsidR="00DA21FF" w:rsidRPr="0007417D" w:rsidRDefault="00DA21FF" w:rsidP="00E05F6E">
            <w:pPr>
              <w:jc w:val="center"/>
              <w:rPr>
                <w:sz w:val="20"/>
              </w:rPr>
            </w:pPr>
            <w:r>
              <w:rPr>
                <w:sz w:val="20"/>
              </w:rPr>
              <w:t xml:space="preserve">31 </w:t>
            </w:r>
            <w:r w:rsidRPr="0007417D">
              <w:rPr>
                <w:sz w:val="20"/>
              </w:rPr>
              <w:t>ppb</w:t>
            </w:r>
          </w:p>
          <w:p w14:paraId="109B8509" w14:textId="77777777" w:rsidR="00DA21FF" w:rsidRPr="0007417D" w:rsidRDefault="00DA21FF" w:rsidP="00E05F6E">
            <w:pPr>
              <w:jc w:val="center"/>
              <w:rPr>
                <w:sz w:val="20"/>
              </w:rPr>
            </w:pPr>
            <w:r w:rsidRPr="0007417D">
              <w:rPr>
                <w:sz w:val="20"/>
              </w:rPr>
              <w:t>Avg.</w:t>
            </w:r>
            <w:r>
              <w:rPr>
                <w:sz w:val="20"/>
              </w:rPr>
              <w:t xml:space="preserve"> (LRAA)</w:t>
            </w:r>
          </w:p>
        </w:tc>
        <w:tc>
          <w:tcPr>
            <w:tcW w:w="1217" w:type="dxa"/>
            <w:gridSpan w:val="2"/>
            <w:shd w:val="clear" w:color="auto" w:fill="auto"/>
            <w:vAlign w:val="center"/>
          </w:tcPr>
          <w:p w14:paraId="394B5ECC" w14:textId="77777777" w:rsidR="00DA21FF" w:rsidRPr="0007417D" w:rsidRDefault="00DA21FF" w:rsidP="00E05F6E">
            <w:pPr>
              <w:jc w:val="center"/>
              <w:rPr>
                <w:sz w:val="20"/>
              </w:rPr>
            </w:pPr>
            <w:r>
              <w:rPr>
                <w:sz w:val="20"/>
              </w:rPr>
              <w:t>15/51</w:t>
            </w:r>
          </w:p>
          <w:p w14:paraId="1B807840" w14:textId="77777777" w:rsidR="00DA21FF" w:rsidRPr="0007417D" w:rsidRDefault="00DA21FF" w:rsidP="00E05F6E">
            <w:pPr>
              <w:jc w:val="center"/>
              <w:rPr>
                <w:sz w:val="20"/>
              </w:rPr>
            </w:pPr>
            <w:r w:rsidRPr="0007417D">
              <w:rPr>
                <w:sz w:val="20"/>
              </w:rPr>
              <w:t>Low – High</w:t>
            </w:r>
          </w:p>
        </w:tc>
        <w:tc>
          <w:tcPr>
            <w:tcW w:w="1014" w:type="dxa"/>
            <w:shd w:val="clear" w:color="auto" w:fill="auto"/>
            <w:vAlign w:val="center"/>
          </w:tcPr>
          <w:p w14:paraId="2A91F54F" w14:textId="77777777" w:rsidR="00DA21FF" w:rsidRPr="0007417D" w:rsidRDefault="00DA21FF" w:rsidP="00E05F6E">
            <w:pPr>
              <w:jc w:val="center"/>
              <w:rPr>
                <w:sz w:val="20"/>
              </w:rPr>
            </w:pPr>
            <w:r>
              <w:rPr>
                <w:sz w:val="20"/>
              </w:rPr>
              <w:t>yes</w:t>
            </w:r>
          </w:p>
        </w:tc>
        <w:tc>
          <w:tcPr>
            <w:tcW w:w="3449" w:type="dxa"/>
            <w:shd w:val="clear" w:color="auto" w:fill="auto"/>
            <w:vAlign w:val="center"/>
          </w:tcPr>
          <w:p w14:paraId="3C7CAB2B" w14:textId="77777777" w:rsidR="00DA21FF" w:rsidRDefault="00DA21FF" w:rsidP="00E05F6E">
            <w:pPr>
              <w:jc w:val="center"/>
            </w:pPr>
            <w:r w:rsidRPr="0007417D">
              <w:rPr>
                <w:sz w:val="20"/>
              </w:rPr>
              <w:t>Disinfection By-Products</w:t>
            </w:r>
          </w:p>
        </w:tc>
      </w:tr>
      <w:tr w:rsidR="00DA21FF" w14:paraId="16DC88AE" w14:textId="77777777" w:rsidTr="00E05F6E">
        <w:trPr>
          <w:trHeight w:val="56"/>
        </w:trPr>
        <w:tc>
          <w:tcPr>
            <w:tcW w:w="1395" w:type="dxa"/>
            <w:shd w:val="clear" w:color="auto" w:fill="auto"/>
            <w:vAlign w:val="center"/>
          </w:tcPr>
          <w:p w14:paraId="6D63AB84" w14:textId="77777777" w:rsidR="00DA21FF" w:rsidRPr="0007417D" w:rsidRDefault="00DA21FF" w:rsidP="00E05F6E">
            <w:pPr>
              <w:jc w:val="center"/>
              <w:rPr>
                <w:sz w:val="20"/>
              </w:rPr>
            </w:pPr>
            <w:proofErr w:type="spellStart"/>
            <w:r w:rsidRPr="0007417D">
              <w:rPr>
                <w:sz w:val="20"/>
              </w:rPr>
              <w:t>Halo</w:t>
            </w:r>
            <w:r>
              <w:rPr>
                <w:sz w:val="20"/>
              </w:rPr>
              <w:t>a</w:t>
            </w:r>
            <w:r w:rsidRPr="0007417D">
              <w:rPr>
                <w:sz w:val="20"/>
              </w:rPr>
              <w:t>c</w:t>
            </w:r>
            <w:r>
              <w:rPr>
                <w:sz w:val="20"/>
              </w:rPr>
              <w:t>et</w:t>
            </w:r>
            <w:r w:rsidRPr="0007417D">
              <w:rPr>
                <w:sz w:val="20"/>
              </w:rPr>
              <w:t>ic</w:t>
            </w:r>
            <w:proofErr w:type="spellEnd"/>
            <w:r w:rsidRPr="0007417D">
              <w:rPr>
                <w:sz w:val="20"/>
              </w:rPr>
              <w:t xml:space="preserve"> Acids</w:t>
            </w:r>
          </w:p>
          <w:p w14:paraId="23B7E210" w14:textId="77777777" w:rsidR="00DA21FF" w:rsidRPr="0007417D" w:rsidRDefault="00DA21FF" w:rsidP="00E05F6E">
            <w:pPr>
              <w:jc w:val="center"/>
              <w:rPr>
                <w:sz w:val="20"/>
              </w:rPr>
            </w:pPr>
          </w:p>
        </w:tc>
        <w:tc>
          <w:tcPr>
            <w:tcW w:w="1319" w:type="dxa"/>
            <w:shd w:val="clear" w:color="auto" w:fill="auto"/>
            <w:vAlign w:val="center"/>
          </w:tcPr>
          <w:p w14:paraId="60684412" w14:textId="77777777" w:rsidR="00DA21FF" w:rsidRPr="0007417D" w:rsidRDefault="00DA21FF" w:rsidP="00E05F6E">
            <w:pPr>
              <w:jc w:val="center"/>
              <w:rPr>
                <w:sz w:val="20"/>
              </w:rPr>
            </w:pPr>
            <w:r w:rsidRPr="0007417D">
              <w:rPr>
                <w:sz w:val="20"/>
              </w:rPr>
              <w:t>n/a</w:t>
            </w:r>
          </w:p>
        </w:tc>
        <w:tc>
          <w:tcPr>
            <w:tcW w:w="1623" w:type="dxa"/>
            <w:shd w:val="clear" w:color="auto" w:fill="auto"/>
            <w:vAlign w:val="center"/>
          </w:tcPr>
          <w:p w14:paraId="1B085297" w14:textId="77777777" w:rsidR="00DA21FF" w:rsidRPr="0007417D" w:rsidRDefault="00DA21FF" w:rsidP="00E05F6E">
            <w:pPr>
              <w:jc w:val="center"/>
              <w:rPr>
                <w:sz w:val="20"/>
              </w:rPr>
            </w:pPr>
            <w:r w:rsidRPr="0007417D">
              <w:rPr>
                <w:sz w:val="20"/>
              </w:rPr>
              <w:t>60 ppb</w:t>
            </w:r>
          </w:p>
        </w:tc>
        <w:tc>
          <w:tcPr>
            <w:tcW w:w="1217" w:type="dxa"/>
            <w:gridSpan w:val="2"/>
            <w:shd w:val="clear" w:color="auto" w:fill="auto"/>
            <w:vAlign w:val="center"/>
          </w:tcPr>
          <w:p w14:paraId="29551B7C" w14:textId="77777777" w:rsidR="00DA21FF" w:rsidRPr="0007417D" w:rsidRDefault="00DA21FF" w:rsidP="00E05F6E">
            <w:pPr>
              <w:jc w:val="center"/>
              <w:rPr>
                <w:sz w:val="20"/>
              </w:rPr>
            </w:pPr>
            <w:r>
              <w:rPr>
                <w:sz w:val="20"/>
              </w:rPr>
              <w:t>30</w:t>
            </w:r>
            <w:r w:rsidRPr="0007417D">
              <w:rPr>
                <w:sz w:val="20"/>
              </w:rPr>
              <w:t xml:space="preserve"> ppb</w:t>
            </w:r>
          </w:p>
          <w:p w14:paraId="410C3977" w14:textId="77777777" w:rsidR="00DA21FF" w:rsidRPr="0007417D" w:rsidRDefault="00DA21FF" w:rsidP="00E05F6E">
            <w:pPr>
              <w:jc w:val="center"/>
              <w:rPr>
                <w:sz w:val="20"/>
              </w:rPr>
            </w:pPr>
            <w:r w:rsidRPr="0007417D">
              <w:rPr>
                <w:sz w:val="20"/>
              </w:rPr>
              <w:t>Avg.</w:t>
            </w:r>
            <w:r>
              <w:rPr>
                <w:sz w:val="20"/>
              </w:rPr>
              <w:t xml:space="preserve"> (LRAA)</w:t>
            </w:r>
          </w:p>
        </w:tc>
        <w:tc>
          <w:tcPr>
            <w:tcW w:w="1217" w:type="dxa"/>
            <w:gridSpan w:val="2"/>
            <w:shd w:val="clear" w:color="auto" w:fill="auto"/>
            <w:vAlign w:val="center"/>
          </w:tcPr>
          <w:p w14:paraId="0D0566C5" w14:textId="77777777" w:rsidR="00DA21FF" w:rsidRPr="0007417D" w:rsidRDefault="00DA21FF" w:rsidP="00E05F6E">
            <w:pPr>
              <w:jc w:val="center"/>
              <w:rPr>
                <w:sz w:val="20"/>
              </w:rPr>
            </w:pPr>
            <w:r>
              <w:rPr>
                <w:sz w:val="20"/>
              </w:rPr>
              <w:t>21/50</w:t>
            </w:r>
          </w:p>
          <w:p w14:paraId="2344538F" w14:textId="77777777" w:rsidR="00DA21FF" w:rsidRPr="0007417D" w:rsidRDefault="00DA21FF" w:rsidP="00E05F6E">
            <w:pPr>
              <w:jc w:val="center"/>
              <w:rPr>
                <w:sz w:val="20"/>
              </w:rPr>
            </w:pPr>
            <w:r w:rsidRPr="0007417D">
              <w:rPr>
                <w:sz w:val="20"/>
              </w:rPr>
              <w:t>Low - High</w:t>
            </w:r>
          </w:p>
        </w:tc>
        <w:tc>
          <w:tcPr>
            <w:tcW w:w="1014" w:type="dxa"/>
            <w:shd w:val="clear" w:color="auto" w:fill="auto"/>
            <w:vAlign w:val="center"/>
          </w:tcPr>
          <w:p w14:paraId="0F464D13" w14:textId="77777777" w:rsidR="00DA21FF" w:rsidRPr="0007417D" w:rsidRDefault="00DA21FF" w:rsidP="00E05F6E">
            <w:pPr>
              <w:jc w:val="center"/>
              <w:rPr>
                <w:sz w:val="20"/>
              </w:rPr>
            </w:pPr>
            <w:r>
              <w:rPr>
                <w:sz w:val="20"/>
              </w:rPr>
              <w:t>yes</w:t>
            </w:r>
          </w:p>
        </w:tc>
        <w:tc>
          <w:tcPr>
            <w:tcW w:w="3449" w:type="dxa"/>
            <w:shd w:val="clear" w:color="auto" w:fill="auto"/>
            <w:vAlign w:val="center"/>
          </w:tcPr>
          <w:p w14:paraId="17078741" w14:textId="77777777" w:rsidR="00DA21FF" w:rsidRDefault="00DA21FF" w:rsidP="00E05F6E">
            <w:pPr>
              <w:jc w:val="center"/>
            </w:pPr>
            <w:r w:rsidRPr="0007417D">
              <w:rPr>
                <w:sz w:val="20"/>
              </w:rPr>
              <w:t>Disinfection By-Products</w:t>
            </w:r>
          </w:p>
        </w:tc>
      </w:tr>
      <w:tr w:rsidR="00DA21FF" w14:paraId="16589EF8" w14:textId="77777777" w:rsidTr="00E05F6E">
        <w:trPr>
          <w:trHeight w:val="56"/>
        </w:trPr>
        <w:tc>
          <w:tcPr>
            <w:tcW w:w="1395" w:type="dxa"/>
            <w:shd w:val="clear" w:color="auto" w:fill="auto"/>
            <w:vAlign w:val="center"/>
          </w:tcPr>
          <w:p w14:paraId="25743A4D" w14:textId="77777777" w:rsidR="00DA21FF" w:rsidRPr="0007417D" w:rsidRDefault="00DA21FF" w:rsidP="00E05F6E">
            <w:pPr>
              <w:jc w:val="center"/>
              <w:rPr>
                <w:sz w:val="20"/>
              </w:rPr>
            </w:pPr>
            <w:r w:rsidRPr="0007417D">
              <w:rPr>
                <w:sz w:val="20"/>
              </w:rPr>
              <w:t>Total Organic</w:t>
            </w:r>
          </w:p>
          <w:p w14:paraId="76ED7390" w14:textId="77777777" w:rsidR="00DA21FF" w:rsidRPr="0007417D" w:rsidRDefault="00DA21FF" w:rsidP="00E05F6E">
            <w:pPr>
              <w:jc w:val="center"/>
              <w:rPr>
                <w:sz w:val="20"/>
              </w:rPr>
            </w:pPr>
            <w:r w:rsidRPr="0007417D">
              <w:rPr>
                <w:sz w:val="20"/>
              </w:rPr>
              <w:t>Carbon</w:t>
            </w:r>
            <w:proofErr w:type="gramStart"/>
            <w:r w:rsidRPr="0007417D">
              <w:rPr>
                <w:sz w:val="20"/>
              </w:rPr>
              <w:t xml:space="preserve">   (</w:t>
            </w:r>
            <w:proofErr w:type="gramEnd"/>
            <w:r w:rsidRPr="0007417D">
              <w:rPr>
                <w:sz w:val="20"/>
              </w:rPr>
              <w:t>TOC)</w:t>
            </w:r>
          </w:p>
          <w:p w14:paraId="0E77421E" w14:textId="77777777" w:rsidR="00DA21FF" w:rsidRDefault="00DA21FF" w:rsidP="00E05F6E">
            <w:pPr>
              <w:jc w:val="center"/>
            </w:pPr>
          </w:p>
        </w:tc>
        <w:tc>
          <w:tcPr>
            <w:tcW w:w="1319" w:type="dxa"/>
            <w:shd w:val="clear" w:color="auto" w:fill="auto"/>
            <w:vAlign w:val="center"/>
          </w:tcPr>
          <w:p w14:paraId="10303478" w14:textId="77777777" w:rsidR="00DA21FF" w:rsidRPr="0007417D" w:rsidRDefault="00DA21FF" w:rsidP="00E05F6E">
            <w:pPr>
              <w:jc w:val="center"/>
              <w:rPr>
                <w:sz w:val="20"/>
              </w:rPr>
            </w:pPr>
            <w:r>
              <w:rPr>
                <w:sz w:val="20"/>
              </w:rPr>
              <w:t>n/a</w:t>
            </w:r>
          </w:p>
        </w:tc>
        <w:tc>
          <w:tcPr>
            <w:tcW w:w="1623" w:type="dxa"/>
            <w:shd w:val="clear" w:color="auto" w:fill="auto"/>
            <w:vAlign w:val="center"/>
          </w:tcPr>
          <w:p w14:paraId="2459A295" w14:textId="77777777" w:rsidR="00DA21FF" w:rsidRPr="0007417D" w:rsidRDefault="00DA21FF" w:rsidP="00E05F6E">
            <w:pPr>
              <w:jc w:val="center"/>
              <w:rPr>
                <w:sz w:val="20"/>
              </w:rPr>
            </w:pPr>
            <w:r w:rsidRPr="0007417D">
              <w:rPr>
                <w:sz w:val="20"/>
              </w:rPr>
              <w:t>TT</w:t>
            </w:r>
          </w:p>
        </w:tc>
        <w:tc>
          <w:tcPr>
            <w:tcW w:w="1217" w:type="dxa"/>
            <w:gridSpan w:val="2"/>
            <w:shd w:val="clear" w:color="auto" w:fill="auto"/>
            <w:vAlign w:val="center"/>
          </w:tcPr>
          <w:p w14:paraId="1DBEF071" w14:textId="77777777" w:rsidR="00DA21FF" w:rsidRPr="0007417D" w:rsidRDefault="00DA21FF" w:rsidP="00E05F6E">
            <w:pPr>
              <w:rPr>
                <w:sz w:val="20"/>
              </w:rPr>
            </w:pPr>
            <w:r w:rsidRPr="0007417D">
              <w:rPr>
                <w:sz w:val="20"/>
              </w:rPr>
              <w:t xml:space="preserve"> Ppm</w:t>
            </w:r>
            <w:r>
              <w:rPr>
                <w:sz w:val="20"/>
              </w:rPr>
              <w:t xml:space="preserve"> .50</w:t>
            </w:r>
          </w:p>
          <w:p w14:paraId="411AEF60" w14:textId="77777777" w:rsidR="00DA21FF" w:rsidRPr="0007417D" w:rsidRDefault="00DA21FF" w:rsidP="00E05F6E">
            <w:pPr>
              <w:jc w:val="center"/>
              <w:rPr>
                <w:sz w:val="20"/>
              </w:rPr>
            </w:pPr>
            <w:r w:rsidRPr="0007417D">
              <w:rPr>
                <w:sz w:val="20"/>
              </w:rPr>
              <w:t>Avg.</w:t>
            </w:r>
          </w:p>
        </w:tc>
        <w:tc>
          <w:tcPr>
            <w:tcW w:w="1217" w:type="dxa"/>
            <w:gridSpan w:val="2"/>
            <w:shd w:val="clear" w:color="auto" w:fill="auto"/>
            <w:vAlign w:val="center"/>
          </w:tcPr>
          <w:p w14:paraId="415E04ED" w14:textId="77777777" w:rsidR="00DA21FF" w:rsidRPr="0007417D" w:rsidRDefault="00DA21FF" w:rsidP="00E05F6E">
            <w:pPr>
              <w:jc w:val="center"/>
              <w:rPr>
                <w:sz w:val="20"/>
              </w:rPr>
            </w:pPr>
            <w:r>
              <w:rPr>
                <w:sz w:val="20"/>
              </w:rPr>
              <w:t>BDL – .770</w:t>
            </w:r>
          </w:p>
          <w:p w14:paraId="4EEFC3C6" w14:textId="77777777" w:rsidR="00DA21FF" w:rsidRPr="0007417D" w:rsidRDefault="00DA21FF" w:rsidP="00E05F6E">
            <w:pPr>
              <w:jc w:val="center"/>
              <w:rPr>
                <w:sz w:val="20"/>
              </w:rPr>
            </w:pPr>
            <w:r w:rsidRPr="0007417D">
              <w:rPr>
                <w:sz w:val="20"/>
              </w:rPr>
              <w:t>Low - High</w:t>
            </w:r>
          </w:p>
        </w:tc>
        <w:tc>
          <w:tcPr>
            <w:tcW w:w="1014" w:type="dxa"/>
            <w:shd w:val="clear" w:color="auto" w:fill="auto"/>
            <w:vAlign w:val="center"/>
          </w:tcPr>
          <w:p w14:paraId="5F366E4D" w14:textId="77777777" w:rsidR="00DA21FF" w:rsidRPr="0007417D" w:rsidRDefault="00DA21FF" w:rsidP="00E05F6E">
            <w:pPr>
              <w:jc w:val="center"/>
              <w:rPr>
                <w:sz w:val="20"/>
              </w:rPr>
            </w:pPr>
            <w:r>
              <w:rPr>
                <w:sz w:val="20"/>
              </w:rPr>
              <w:t>yes</w:t>
            </w:r>
          </w:p>
        </w:tc>
        <w:tc>
          <w:tcPr>
            <w:tcW w:w="3449" w:type="dxa"/>
            <w:shd w:val="clear" w:color="auto" w:fill="auto"/>
            <w:vAlign w:val="center"/>
          </w:tcPr>
          <w:p w14:paraId="463264FA" w14:textId="77777777" w:rsidR="00DA21FF" w:rsidRPr="0007417D" w:rsidRDefault="00DA21FF" w:rsidP="00E05F6E">
            <w:pPr>
              <w:jc w:val="center"/>
              <w:rPr>
                <w:sz w:val="20"/>
              </w:rPr>
            </w:pPr>
            <w:r w:rsidRPr="0007417D">
              <w:rPr>
                <w:sz w:val="20"/>
              </w:rPr>
              <w:t>Naturally present in the environment</w:t>
            </w:r>
          </w:p>
        </w:tc>
      </w:tr>
      <w:tr w:rsidR="00DA21FF" w14:paraId="1EB122E4" w14:textId="77777777" w:rsidTr="00E05F6E">
        <w:trPr>
          <w:trHeight w:val="847"/>
        </w:trPr>
        <w:tc>
          <w:tcPr>
            <w:tcW w:w="1395" w:type="dxa"/>
            <w:shd w:val="clear" w:color="auto" w:fill="auto"/>
            <w:vAlign w:val="center"/>
          </w:tcPr>
          <w:p w14:paraId="60D742E5" w14:textId="77777777" w:rsidR="00DA21FF" w:rsidRPr="0007417D" w:rsidRDefault="00DA21FF" w:rsidP="00E05F6E">
            <w:pPr>
              <w:jc w:val="center"/>
              <w:rPr>
                <w:sz w:val="20"/>
              </w:rPr>
            </w:pPr>
            <w:r w:rsidRPr="0007417D">
              <w:rPr>
                <w:sz w:val="20"/>
              </w:rPr>
              <w:t>Chlorine</w:t>
            </w:r>
          </w:p>
        </w:tc>
        <w:tc>
          <w:tcPr>
            <w:tcW w:w="1319" w:type="dxa"/>
            <w:shd w:val="clear" w:color="auto" w:fill="auto"/>
            <w:vAlign w:val="center"/>
          </w:tcPr>
          <w:p w14:paraId="3D2E2AE0" w14:textId="77777777" w:rsidR="00DA21FF" w:rsidRPr="0007417D" w:rsidRDefault="00DA21FF" w:rsidP="00E05F6E">
            <w:pPr>
              <w:jc w:val="center"/>
              <w:rPr>
                <w:sz w:val="20"/>
              </w:rPr>
            </w:pPr>
            <w:r w:rsidRPr="0007417D">
              <w:rPr>
                <w:sz w:val="20"/>
              </w:rPr>
              <w:t>4 ppm</w:t>
            </w:r>
          </w:p>
        </w:tc>
        <w:tc>
          <w:tcPr>
            <w:tcW w:w="1623" w:type="dxa"/>
            <w:shd w:val="clear" w:color="auto" w:fill="auto"/>
            <w:vAlign w:val="center"/>
          </w:tcPr>
          <w:p w14:paraId="2F2FAB7E" w14:textId="77777777" w:rsidR="00DA21FF" w:rsidRPr="0007417D" w:rsidRDefault="00DA21FF" w:rsidP="00E05F6E">
            <w:pPr>
              <w:jc w:val="center"/>
              <w:rPr>
                <w:sz w:val="20"/>
              </w:rPr>
            </w:pPr>
            <w:r w:rsidRPr="0007417D">
              <w:rPr>
                <w:sz w:val="20"/>
              </w:rPr>
              <w:t>4 ppm</w:t>
            </w:r>
          </w:p>
        </w:tc>
        <w:tc>
          <w:tcPr>
            <w:tcW w:w="1217" w:type="dxa"/>
            <w:gridSpan w:val="2"/>
            <w:shd w:val="clear" w:color="auto" w:fill="auto"/>
            <w:vAlign w:val="center"/>
          </w:tcPr>
          <w:p w14:paraId="52D2CBA0" w14:textId="77777777" w:rsidR="00DA21FF" w:rsidRPr="0007417D" w:rsidRDefault="00DA21FF" w:rsidP="00E05F6E">
            <w:pPr>
              <w:jc w:val="center"/>
              <w:rPr>
                <w:sz w:val="20"/>
              </w:rPr>
            </w:pPr>
            <w:r>
              <w:rPr>
                <w:sz w:val="20"/>
              </w:rPr>
              <w:t>2.23</w:t>
            </w:r>
            <w:r w:rsidRPr="0007417D">
              <w:rPr>
                <w:sz w:val="20"/>
              </w:rPr>
              <w:t xml:space="preserve"> ppm</w:t>
            </w:r>
          </w:p>
          <w:p w14:paraId="7BDAA492" w14:textId="77777777" w:rsidR="00DA21FF" w:rsidRPr="0007417D" w:rsidRDefault="00DA21FF" w:rsidP="00E05F6E">
            <w:pPr>
              <w:jc w:val="center"/>
              <w:rPr>
                <w:sz w:val="20"/>
              </w:rPr>
            </w:pPr>
            <w:r w:rsidRPr="0007417D">
              <w:rPr>
                <w:sz w:val="20"/>
              </w:rPr>
              <w:t>Avg.</w:t>
            </w:r>
          </w:p>
        </w:tc>
        <w:tc>
          <w:tcPr>
            <w:tcW w:w="1217" w:type="dxa"/>
            <w:gridSpan w:val="2"/>
            <w:shd w:val="clear" w:color="auto" w:fill="auto"/>
            <w:vAlign w:val="center"/>
          </w:tcPr>
          <w:p w14:paraId="0DE86104" w14:textId="77777777" w:rsidR="00DA21FF" w:rsidRPr="0007417D" w:rsidRDefault="00DA21FF" w:rsidP="00E05F6E">
            <w:pPr>
              <w:jc w:val="center"/>
              <w:rPr>
                <w:sz w:val="20"/>
              </w:rPr>
            </w:pPr>
            <w:r>
              <w:rPr>
                <w:sz w:val="20"/>
              </w:rPr>
              <w:t>0.20 – 3.4</w:t>
            </w:r>
          </w:p>
          <w:p w14:paraId="26DE8031" w14:textId="77777777" w:rsidR="00DA21FF" w:rsidRPr="0007417D" w:rsidRDefault="00DA21FF" w:rsidP="00E05F6E">
            <w:pPr>
              <w:jc w:val="center"/>
              <w:rPr>
                <w:sz w:val="20"/>
              </w:rPr>
            </w:pPr>
            <w:r w:rsidRPr="0007417D">
              <w:rPr>
                <w:sz w:val="20"/>
              </w:rPr>
              <w:t>Low – High</w:t>
            </w:r>
          </w:p>
        </w:tc>
        <w:tc>
          <w:tcPr>
            <w:tcW w:w="1014" w:type="dxa"/>
            <w:shd w:val="clear" w:color="auto" w:fill="auto"/>
            <w:vAlign w:val="center"/>
          </w:tcPr>
          <w:p w14:paraId="40E891F2" w14:textId="77777777" w:rsidR="00DA21FF" w:rsidRPr="0007417D" w:rsidRDefault="00DA21FF" w:rsidP="00E05F6E">
            <w:pPr>
              <w:jc w:val="center"/>
              <w:rPr>
                <w:sz w:val="20"/>
              </w:rPr>
            </w:pPr>
            <w:r>
              <w:rPr>
                <w:sz w:val="20"/>
              </w:rPr>
              <w:t>yes</w:t>
            </w:r>
          </w:p>
        </w:tc>
        <w:tc>
          <w:tcPr>
            <w:tcW w:w="3449" w:type="dxa"/>
            <w:shd w:val="clear" w:color="auto" w:fill="auto"/>
            <w:vAlign w:val="center"/>
          </w:tcPr>
          <w:p w14:paraId="3533C8F5" w14:textId="77777777" w:rsidR="00DA21FF" w:rsidRPr="0007417D" w:rsidRDefault="00DA21FF" w:rsidP="00E05F6E">
            <w:pPr>
              <w:jc w:val="center"/>
              <w:rPr>
                <w:sz w:val="20"/>
              </w:rPr>
            </w:pPr>
            <w:r w:rsidRPr="0007417D">
              <w:rPr>
                <w:sz w:val="20"/>
              </w:rPr>
              <w:t>Added Disinfectant</w:t>
            </w:r>
          </w:p>
        </w:tc>
      </w:tr>
      <w:tr w:rsidR="00DA21FF" w14:paraId="05212EB9" w14:textId="77777777" w:rsidTr="00E05F6E">
        <w:trPr>
          <w:trHeight w:val="796"/>
        </w:trPr>
        <w:tc>
          <w:tcPr>
            <w:tcW w:w="1395" w:type="dxa"/>
            <w:shd w:val="clear" w:color="auto" w:fill="auto"/>
            <w:vAlign w:val="center"/>
          </w:tcPr>
          <w:p w14:paraId="0C944E09" w14:textId="77777777" w:rsidR="00DA21FF" w:rsidRPr="0007417D" w:rsidRDefault="00DA21FF" w:rsidP="00E05F6E">
            <w:pPr>
              <w:jc w:val="center"/>
              <w:rPr>
                <w:sz w:val="20"/>
              </w:rPr>
            </w:pPr>
            <w:r w:rsidRPr="0007417D">
              <w:rPr>
                <w:sz w:val="20"/>
              </w:rPr>
              <w:t>Nitrate</w:t>
            </w:r>
          </w:p>
          <w:p w14:paraId="30827481" w14:textId="77777777" w:rsidR="00DA21FF" w:rsidRPr="0007417D" w:rsidRDefault="00DA21FF" w:rsidP="00E05F6E">
            <w:pPr>
              <w:jc w:val="center"/>
              <w:rPr>
                <w:sz w:val="20"/>
              </w:rPr>
            </w:pPr>
            <w:r w:rsidRPr="0007417D">
              <w:rPr>
                <w:sz w:val="20"/>
              </w:rPr>
              <w:t>(</w:t>
            </w:r>
            <w:proofErr w:type="gramStart"/>
            <w:r w:rsidRPr="0007417D">
              <w:rPr>
                <w:sz w:val="20"/>
              </w:rPr>
              <w:t>as</w:t>
            </w:r>
            <w:proofErr w:type="gramEnd"/>
            <w:r w:rsidRPr="0007417D">
              <w:rPr>
                <w:sz w:val="20"/>
              </w:rPr>
              <w:t xml:space="preserve"> Nitrogen)</w:t>
            </w:r>
          </w:p>
        </w:tc>
        <w:tc>
          <w:tcPr>
            <w:tcW w:w="1319" w:type="dxa"/>
            <w:shd w:val="clear" w:color="auto" w:fill="auto"/>
            <w:vAlign w:val="center"/>
          </w:tcPr>
          <w:p w14:paraId="17BC4C69" w14:textId="77777777" w:rsidR="00DA21FF" w:rsidRPr="0007417D" w:rsidRDefault="00DA21FF" w:rsidP="00E05F6E">
            <w:pPr>
              <w:jc w:val="center"/>
              <w:rPr>
                <w:sz w:val="20"/>
              </w:rPr>
            </w:pPr>
            <w:r w:rsidRPr="0007417D">
              <w:rPr>
                <w:sz w:val="20"/>
              </w:rPr>
              <w:t>0</w:t>
            </w:r>
          </w:p>
        </w:tc>
        <w:tc>
          <w:tcPr>
            <w:tcW w:w="1623" w:type="dxa"/>
            <w:shd w:val="clear" w:color="auto" w:fill="auto"/>
            <w:vAlign w:val="center"/>
          </w:tcPr>
          <w:p w14:paraId="2DCC1FED" w14:textId="77777777" w:rsidR="00DA21FF" w:rsidRPr="0007417D" w:rsidRDefault="00DA21FF" w:rsidP="00E05F6E">
            <w:pPr>
              <w:jc w:val="center"/>
              <w:rPr>
                <w:sz w:val="20"/>
              </w:rPr>
            </w:pPr>
            <w:r w:rsidRPr="0007417D">
              <w:rPr>
                <w:sz w:val="20"/>
              </w:rPr>
              <w:t>10 ppm</w:t>
            </w:r>
          </w:p>
        </w:tc>
        <w:tc>
          <w:tcPr>
            <w:tcW w:w="1217" w:type="dxa"/>
            <w:gridSpan w:val="2"/>
            <w:shd w:val="clear" w:color="auto" w:fill="auto"/>
            <w:vAlign w:val="center"/>
          </w:tcPr>
          <w:p w14:paraId="0AF1A164" w14:textId="77777777" w:rsidR="00DA21FF" w:rsidRPr="0007417D" w:rsidRDefault="00DA21FF" w:rsidP="00E05F6E">
            <w:pPr>
              <w:jc w:val="center"/>
              <w:rPr>
                <w:sz w:val="20"/>
              </w:rPr>
            </w:pPr>
            <w:r>
              <w:rPr>
                <w:sz w:val="20"/>
              </w:rPr>
              <w:t>.533</w:t>
            </w:r>
            <w:r w:rsidRPr="0007417D">
              <w:rPr>
                <w:sz w:val="20"/>
              </w:rPr>
              <w:t xml:space="preserve"> ppm</w:t>
            </w:r>
          </w:p>
        </w:tc>
        <w:tc>
          <w:tcPr>
            <w:tcW w:w="1217" w:type="dxa"/>
            <w:gridSpan w:val="2"/>
            <w:shd w:val="clear" w:color="auto" w:fill="auto"/>
            <w:vAlign w:val="center"/>
          </w:tcPr>
          <w:p w14:paraId="72C92815" w14:textId="77777777" w:rsidR="00DA21FF" w:rsidRPr="0007417D" w:rsidRDefault="00DA21FF" w:rsidP="00E05F6E">
            <w:pPr>
              <w:jc w:val="center"/>
              <w:rPr>
                <w:sz w:val="20"/>
              </w:rPr>
            </w:pPr>
            <w:r w:rsidRPr="00BB7FFC">
              <w:t>n/a</w:t>
            </w:r>
          </w:p>
        </w:tc>
        <w:tc>
          <w:tcPr>
            <w:tcW w:w="1014" w:type="dxa"/>
            <w:shd w:val="clear" w:color="auto" w:fill="auto"/>
            <w:vAlign w:val="center"/>
          </w:tcPr>
          <w:p w14:paraId="2A1394A8" w14:textId="77777777" w:rsidR="00DA21FF" w:rsidRPr="0007417D" w:rsidRDefault="00DA21FF" w:rsidP="00E05F6E">
            <w:pPr>
              <w:jc w:val="center"/>
              <w:rPr>
                <w:sz w:val="20"/>
              </w:rPr>
            </w:pPr>
            <w:r>
              <w:rPr>
                <w:sz w:val="20"/>
              </w:rPr>
              <w:t>yes</w:t>
            </w:r>
          </w:p>
        </w:tc>
        <w:tc>
          <w:tcPr>
            <w:tcW w:w="3449" w:type="dxa"/>
            <w:shd w:val="clear" w:color="auto" w:fill="auto"/>
            <w:vAlign w:val="center"/>
          </w:tcPr>
          <w:p w14:paraId="4C3AC194" w14:textId="77777777" w:rsidR="00DA21FF" w:rsidRPr="0007417D" w:rsidRDefault="00DA21FF" w:rsidP="00E05F6E">
            <w:pPr>
              <w:jc w:val="center"/>
              <w:rPr>
                <w:sz w:val="20"/>
              </w:rPr>
            </w:pPr>
            <w:r w:rsidRPr="0007417D">
              <w:rPr>
                <w:sz w:val="20"/>
              </w:rPr>
              <w:t>Runoff from fertilizer use; leaching from septic tanks, sewage; erosion of natural deposits</w:t>
            </w:r>
          </w:p>
        </w:tc>
      </w:tr>
    </w:tbl>
    <w:p w14:paraId="17AE18D1" w14:textId="77777777" w:rsidR="00DA21FF" w:rsidRDefault="00DA21FF" w:rsidP="00DA21FF">
      <w:pPr>
        <w:tabs>
          <w:tab w:val="left" w:pos="1245"/>
        </w:tabs>
      </w:pPr>
    </w:p>
    <w:p w14:paraId="2151DD9B" w14:textId="4A4665A7" w:rsidR="00DA21FF" w:rsidRDefault="00DA21FF" w:rsidP="00DA21FF">
      <w:pPr>
        <w:tabs>
          <w:tab w:val="left" w:pos="1245"/>
        </w:tabs>
      </w:pPr>
      <w:r>
        <w:t>We met the treatment for turbidity with 100.0% of monthly samples below the turbidity limit of 0.3 NTU. We monitor turbidity, which is a measurement of the cloudiness of water, because it is a good indicator that the filtration system is functioning well.</w:t>
      </w:r>
    </w:p>
    <w:p w14:paraId="5CAF4279" w14:textId="77777777" w:rsidR="00DA21FF" w:rsidRDefault="00DA21FF" w:rsidP="00DA21FF">
      <w:pPr>
        <w:tabs>
          <w:tab w:val="left" w:pos="1245"/>
        </w:tabs>
        <w:ind w:left="360"/>
      </w:pPr>
    </w:p>
    <w:p w14:paraId="5D033197" w14:textId="77777777" w:rsidR="00DA21FF" w:rsidRDefault="00DA21FF" w:rsidP="00DA21FF">
      <w:pPr>
        <w:tabs>
          <w:tab w:val="left" w:pos="1245"/>
        </w:tabs>
      </w:pPr>
      <w:r>
        <w:t>During the most recent round of testing, 0 out of 20 sites sampled had a level exceeding the lead and copper action level.</w:t>
      </w:r>
    </w:p>
    <w:p w14:paraId="5E9253AE" w14:textId="77777777" w:rsidR="00DA21FF" w:rsidRDefault="00DA21FF" w:rsidP="00DA21FF">
      <w:pPr>
        <w:tabs>
          <w:tab w:val="left" w:pos="1245"/>
        </w:tabs>
      </w:pPr>
      <w:r>
        <w:t>The treatment technique for total carbon was met 100% i</w:t>
      </w:r>
      <w:r w:rsidRPr="00BB7FFC">
        <w:t>n</w:t>
      </w:r>
      <w:r>
        <w:t xml:space="preserve"> 2020</w:t>
      </w:r>
    </w:p>
    <w:p w14:paraId="2EA134A5" w14:textId="77777777" w:rsidR="00DA21FF" w:rsidRDefault="00DA21FF" w:rsidP="00DA21FF">
      <w:pPr>
        <w:tabs>
          <w:tab w:val="left" w:pos="1245"/>
        </w:tabs>
      </w:pPr>
    </w:p>
    <w:p w14:paraId="796D7022" w14:textId="77777777" w:rsidR="00DA21FF" w:rsidRDefault="00DA21FF" w:rsidP="00DA21FF">
      <w:pPr>
        <w:tabs>
          <w:tab w:val="left" w:pos="1245"/>
        </w:tabs>
      </w:pPr>
      <w:r>
        <w:lastRenderedPageBreak/>
        <w:t>Some people who drink water containing trihalomethanes in excess of the MCL over many years may experience problems with their liver, kidneys, or central nervous system, and may have an increased risk of getting cancer.</w:t>
      </w:r>
    </w:p>
    <w:p w14:paraId="7673D284" w14:textId="77777777" w:rsidR="00DA21FF" w:rsidRDefault="00DA21FF" w:rsidP="00DA21FF">
      <w:pPr>
        <w:tabs>
          <w:tab w:val="left" w:pos="1245"/>
        </w:tabs>
      </w:pPr>
      <w:r>
        <w:t xml:space="preserve"> </w:t>
      </w:r>
    </w:p>
    <w:p w14:paraId="5460100E" w14:textId="77777777" w:rsidR="00DA21FF" w:rsidRPr="00E72E92" w:rsidRDefault="00DA21FF" w:rsidP="00DA21FF">
      <w:pPr>
        <w:tabs>
          <w:tab w:val="left" w:pos="1245"/>
        </w:tabs>
        <w:rPr>
          <w:b/>
          <w:i/>
        </w:rPr>
      </w:pPr>
      <w:r w:rsidRPr="00E72E92">
        <w:rPr>
          <w:b/>
          <w:i/>
        </w:rPr>
        <w:t>Parts Per Million (ppm) or Milligrams Per Liter (mg/l)</w:t>
      </w:r>
    </w:p>
    <w:p w14:paraId="0454DDE7" w14:textId="77777777" w:rsidR="00DA21FF" w:rsidRDefault="00DA21FF" w:rsidP="00DA21FF">
      <w:pPr>
        <w:tabs>
          <w:tab w:val="left" w:pos="1245"/>
        </w:tabs>
      </w:pPr>
      <w:r>
        <w:t>One part per million corresponds to one minute in two years or a single penny in $10,000.</w:t>
      </w:r>
    </w:p>
    <w:p w14:paraId="46D1A136" w14:textId="77777777" w:rsidR="00DA21FF" w:rsidRPr="00E72E92" w:rsidRDefault="00DA21FF" w:rsidP="00DA21FF">
      <w:pPr>
        <w:tabs>
          <w:tab w:val="left" w:pos="1245"/>
        </w:tabs>
        <w:rPr>
          <w:b/>
        </w:rPr>
      </w:pPr>
      <w:r w:rsidRPr="00E72E92">
        <w:rPr>
          <w:b/>
          <w:i/>
        </w:rPr>
        <w:t xml:space="preserve">Parts Per Billion (ppb) or Micrograms Per Liter </w:t>
      </w:r>
      <w:proofErr w:type="gramStart"/>
      <w:r w:rsidRPr="00E72E92">
        <w:rPr>
          <w:b/>
          <w:i/>
        </w:rPr>
        <w:t>( ug</w:t>
      </w:r>
      <w:proofErr w:type="gramEnd"/>
      <w:r w:rsidRPr="00E72E92">
        <w:rPr>
          <w:b/>
          <w:i/>
        </w:rPr>
        <w:t>/l)</w:t>
      </w:r>
    </w:p>
    <w:p w14:paraId="73227A97" w14:textId="77777777" w:rsidR="00DA21FF" w:rsidRDefault="00DA21FF" w:rsidP="00DA21FF">
      <w:pPr>
        <w:tabs>
          <w:tab w:val="left" w:pos="1245"/>
        </w:tabs>
      </w:pPr>
      <w:r>
        <w:t>One part per billion corresponds to one minute in 2,000 years or a single penny in $10,000,000</w:t>
      </w:r>
    </w:p>
    <w:p w14:paraId="0CC5FB3A" w14:textId="77777777" w:rsidR="00DA21FF" w:rsidRPr="00E72E92" w:rsidRDefault="00DA21FF" w:rsidP="00DA21FF">
      <w:pPr>
        <w:tabs>
          <w:tab w:val="left" w:pos="1245"/>
        </w:tabs>
        <w:rPr>
          <w:b/>
          <w:i/>
        </w:rPr>
      </w:pPr>
      <w:r w:rsidRPr="00E72E92">
        <w:rPr>
          <w:b/>
          <w:i/>
        </w:rPr>
        <w:t>Picocuries Per Liter (</w:t>
      </w:r>
      <w:proofErr w:type="spellStart"/>
      <w:r w:rsidRPr="00E72E92">
        <w:rPr>
          <w:b/>
          <w:i/>
        </w:rPr>
        <w:t>pCi</w:t>
      </w:r>
      <w:proofErr w:type="spellEnd"/>
      <w:r w:rsidRPr="00E72E92">
        <w:rPr>
          <w:b/>
          <w:i/>
        </w:rPr>
        <w:t>/L)</w:t>
      </w:r>
    </w:p>
    <w:p w14:paraId="2243AA07" w14:textId="77777777" w:rsidR="00DA21FF" w:rsidRDefault="00DA21FF" w:rsidP="00DA21FF">
      <w:pPr>
        <w:tabs>
          <w:tab w:val="left" w:pos="1245"/>
        </w:tabs>
      </w:pPr>
      <w:r>
        <w:t>Picocuries per liter is a measurement of the radioactivity in water.</w:t>
      </w:r>
    </w:p>
    <w:p w14:paraId="18DE8CBC" w14:textId="77777777" w:rsidR="00DA21FF" w:rsidRPr="00E72E92" w:rsidRDefault="00DA21FF" w:rsidP="00DA21FF">
      <w:pPr>
        <w:tabs>
          <w:tab w:val="left" w:pos="1245"/>
        </w:tabs>
        <w:rPr>
          <w:b/>
        </w:rPr>
      </w:pPr>
      <w:proofErr w:type="spellStart"/>
      <w:r w:rsidRPr="00E72E92">
        <w:rPr>
          <w:b/>
          <w:i/>
        </w:rPr>
        <w:t>Nephelometic</w:t>
      </w:r>
      <w:proofErr w:type="spellEnd"/>
      <w:r w:rsidRPr="00E72E92">
        <w:rPr>
          <w:b/>
          <w:i/>
        </w:rPr>
        <w:t xml:space="preserve"> Turbidity Unit (NTU)</w:t>
      </w:r>
    </w:p>
    <w:p w14:paraId="2CC9D8FF" w14:textId="77777777" w:rsidR="00DA21FF" w:rsidRDefault="00DA21FF" w:rsidP="00DA21FF">
      <w:pPr>
        <w:tabs>
          <w:tab w:val="left" w:pos="1245"/>
        </w:tabs>
      </w:pPr>
      <w:r>
        <w:t>Nephelometric turbidity is a measure of the clarity of water. Turbidity in excess of 5 NTU is just noticeable to the average person.</w:t>
      </w:r>
    </w:p>
    <w:p w14:paraId="56967A2A" w14:textId="77777777" w:rsidR="00DA21FF" w:rsidRDefault="00DA21FF" w:rsidP="00DA21FF">
      <w:pPr>
        <w:tabs>
          <w:tab w:val="left" w:pos="1245"/>
        </w:tabs>
        <w:rPr>
          <w:sz w:val="23"/>
          <w:szCs w:val="23"/>
        </w:rPr>
      </w:pPr>
      <w:r>
        <w:rPr>
          <w:b/>
          <w:i/>
          <w:sz w:val="23"/>
          <w:szCs w:val="23"/>
        </w:rPr>
        <w:t>Action Level (</w:t>
      </w:r>
      <w:smartTag w:uri="urn:schemas-microsoft-com:office:smarttags" w:element="place">
        <w:smartTag w:uri="urn:schemas-microsoft-com:office:smarttags" w:element="State">
          <w:r>
            <w:rPr>
              <w:b/>
              <w:i/>
              <w:sz w:val="23"/>
              <w:szCs w:val="23"/>
            </w:rPr>
            <w:t>AL</w:t>
          </w:r>
        </w:smartTag>
      </w:smartTag>
      <w:r>
        <w:rPr>
          <w:b/>
          <w:i/>
          <w:sz w:val="23"/>
          <w:szCs w:val="23"/>
        </w:rPr>
        <w:t>)</w:t>
      </w:r>
    </w:p>
    <w:p w14:paraId="65D97AB1" w14:textId="77777777" w:rsidR="00DA21FF" w:rsidRDefault="00DA21FF" w:rsidP="00DA21FF">
      <w:pPr>
        <w:tabs>
          <w:tab w:val="left" w:pos="1245"/>
        </w:tabs>
        <w:rPr>
          <w:sz w:val="23"/>
          <w:szCs w:val="23"/>
        </w:rPr>
      </w:pPr>
      <w:r>
        <w:rPr>
          <w:sz w:val="23"/>
          <w:szCs w:val="23"/>
        </w:rPr>
        <w:t>The concentration of a contaminant which, if exceeded, triggers treatment or other requirements which a water system must follow.</w:t>
      </w:r>
    </w:p>
    <w:p w14:paraId="6344C58B" w14:textId="77777777" w:rsidR="00DA21FF" w:rsidRDefault="00DA21FF" w:rsidP="00DA21FF">
      <w:pPr>
        <w:tabs>
          <w:tab w:val="left" w:pos="1245"/>
        </w:tabs>
        <w:rPr>
          <w:sz w:val="23"/>
          <w:szCs w:val="23"/>
        </w:rPr>
      </w:pPr>
      <w:r>
        <w:rPr>
          <w:b/>
          <w:i/>
          <w:sz w:val="23"/>
          <w:szCs w:val="23"/>
        </w:rPr>
        <w:t>Treatment Technique (TT)</w:t>
      </w:r>
    </w:p>
    <w:p w14:paraId="605B5F41" w14:textId="77777777" w:rsidR="00DA21FF" w:rsidRDefault="00DA21FF" w:rsidP="00DA21FF">
      <w:pPr>
        <w:tabs>
          <w:tab w:val="left" w:pos="1245"/>
        </w:tabs>
        <w:rPr>
          <w:sz w:val="23"/>
          <w:szCs w:val="23"/>
        </w:rPr>
      </w:pPr>
      <w:r>
        <w:rPr>
          <w:sz w:val="23"/>
          <w:szCs w:val="23"/>
        </w:rPr>
        <w:t>A treatment technique is a required process intended to reduce the level of a contaminant in drinking water.</w:t>
      </w:r>
    </w:p>
    <w:p w14:paraId="2C6220D3" w14:textId="77777777" w:rsidR="00DA21FF" w:rsidRDefault="00DA21FF" w:rsidP="00DA21FF">
      <w:pPr>
        <w:tabs>
          <w:tab w:val="left" w:pos="1245"/>
        </w:tabs>
        <w:rPr>
          <w:sz w:val="23"/>
          <w:szCs w:val="23"/>
        </w:rPr>
      </w:pPr>
      <w:r>
        <w:rPr>
          <w:b/>
          <w:i/>
          <w:sz w:val="23"/>
          <w:szCs w:val="23"/>
        </w:rPr>
        <w:t>Maximum Contaminant Level – (mandatory language)</w:t>
      </w:r>
    </w:p>
    <w:p w14:paraId="4B91FAD2" w14:textId="77777777" w:rsidR="00DA21FF" w:rsidRDefault="00DA21FF" w:rsidP="00DA21FF">
      <w:pPr>
        <w:tabs>
          <w:tab w:val="left" w:pos="1245"/>
        </w:tabs>
        <w:rPr>
          <w:sz w:val="23"/>
          <w:szCs w:val="23"/>
        </w:rPr>
      </w:pPr>
      <w:r>
        <w:rPr>
          <w:sz w:val="23"/>
          <w:szCs w:val="23"/>
        </w:rPr>
        <w:t xml:space="preserve">The “Maximum Allowed” (MCL) is the highest level a contaminant that is allowed in drinking water. MCL’s are set as close to the MCLG’s as feasible using the best available treatment technology.  </w:t>
      </w:r>
    </w:p>
    <w:p w14:paraId="3A501EA9" w14:textId="77777777" w:rsidR="00DA21FF" w:rsidRDefault="00DA21FF" w:rsidP="00DA21FF">
      <w:pPr>
        <w:tabs>
          <w:tab w:val="left" w:pos="1245"/>
        </w:tabs>
        <w:rPr>
          <w:sz w:val="23"/>
          <w:szCs w:val="23"/>
        </w:rPr>
      </w:pPr>
      <w:r>
        <w:rPr>
          <w:b/>
          <w:i/>
          <w:sz w:val="23"/>
          <w:szCs w:val="23"/>
        </w:rPr>
        <w:t>Maximum Contaminant Level Goal – (mandatory language)</w:t>
      </w:r>
    </w:p>
    <w:p w14:paraId="2EB5011A" w14:textId="77777777" w:rsidR="00DA21FF" w:rsidRDefault="00DA21FF" w:rsidP="00DA21FF">
      <w:pPr>
        <w:tabs>
          <w:tab w:val="left" w:pos="1245"/>
        </w:tabs>
        <w:rPr>
          <w:sz w:val="23"/>
          <w:szCs w:val="23"/>
        </w:rPr>
      </w:pPr>
      <w:r>
        <w:rPr>
          <w:sz w:val="23"/>
          <w:szCs w:val="23"/>
        </w:rPr>
        <w:t>The “Goal” (MCLG) is the level of a contaminant in drinking water which there is no known or expected risk to health. MCLG’s allow for a margin of safety.</w:t>
      </w:r>
    </w:p>
    <w:p w14:paraId="70F815C3" w14:textId="77777777" w:rsidR="00DA21FF" w:rsidRDefault="00DA21FF" w:rsidP="00DA21FF">
      <w:pPr>
        <w:tabs>
          <w:tab w:val="left" w:pos="1245"/>
        </w:tabs>
        <w:rPr>
          <w:b/>
          <w:i/>
          <w:sz w:val="23"/>
          <w:szCs w:val="23"/>
        </w:rPr>
      </w:pPr>
      <w:r>
        <w:rPr>
          <w:b/>
          <w:i/>
          <w:sz w:val="23"/>
          <w:szCs w:val="23"/>
        </w:rPr>
        <w:t>MRDL</w:t>
      </w:r>
    </w:p>
    <w:p w14:paraId="7867D971" w14:textId="77777777" w:rsidR="00DA21FF" w:rsidRDefault="00DA21FF" w:rsidP="00DA21FF">
      <w:pPr>
        <w:tabs>
          <w:tab w:val="left" w:pos="1245"/>
        </w:tabs>
        <w:rPr>
          <w:sz w:val="23"/>
          <w:szCs w:val="23"/>
        </w:rPr>
      </w:pPr>
      <w:r>
        <w:rPr>
          <w:sz w:val="23"/>
          <w:szCs w:val="23"/>
        </w:rPr>
        <w:t>Maximum Residual Disinfection Level, or the highest level of disinfectant allowed in drinking water. There is convincing evidence hat addition of a disinfectant is necessary for the control of microbial contaminants.</w:t>
      </w:r>
    </w:p>
    <w:p w14:paraId="430DAAC7" w14:textId="77777777" w:rsidR="00DA21FF" w:rsidRDefault="00DA21FF" w:rsidP="00DA21FF">
      <w:pPr>
        <w:tabs>
          <w:tab w:val="left" w:pos="1245"/>
        </w:tabs>
        <w:rPr>
          <w:b/>
          <w:i/>
          <w:sz w:val="23"/>
          <w:szCs w:val="23"/>
        </w:rPr>
      </w:pPr>
      <w:r>
        <w:rPr>
          <w:b/>
          <w:i/>
          <w:sz w:val="23"/>
          <w:szCs w:val="23"/>
        </w:rPr>
        <w:t>MRDLG</w:t>
      </w:r>
    </w:p>
    <w:p w14:paraId="7E5D6F54" w14:textId="77777777" w:rsidR="00DA21FF" w:rsidRPr="0025473E" w:rsidRDefault="00DA21FF" w:rsidP="00DA21FF">
      <w:pPr>
        <w:tabs>
          <w:tab w:val="left" w:pos="1245"/>
        </w:tabs>
        <w:rPr>
          <w:sz w:val="23"/>
          <w:szCs w:val="23"/>
        </w:rPr>
      </w:pPr>
      <w:r>
        <w:rPr>
          <w:sz w:val="23"/>
          <w:szCs w:val="23"/>
        </w:rPr>
        <w:t xml:space="preserve"> Maximum Residual Disinfection Level Goal, or the level of a drinking water disinfectant below which there is no known or expected health risk. MRDLGs do not reflect the benefits of the use of disinfectants to control microbial contaminants.  </w:t>
      </w:r>
    </w:p>
    <w:p w14:paraId="6184DDF4" w14:textId="77777777" w:rsidR="00DA21FF" w:rsidRDefault="00DA21FF" w:rsidP="00DA21FF">
      <w:pPr>
        <w:tabs>
          <w:tab w:val="left" w:pos="1245"/>
        </w:tabs>
        <w:rPr>
          <w:b/>
          <w:i/>
          <w:sz w:val="23"/>
          <w:szCs w:val="23"/>
        </w:rPr>
      </w:pPr>
      <w:r>
        <w:rPr>
          <w:b/>
          <w:i/>
          <w:sz w:val="23"/>
          <w:szCs w:val="23"/>
        </w:rPr>
        <w:t>LRAA</w:t>
      </w:r>
    </w:p>
    <w:p w14:paraId="4143BDF8" w14:textId="77777777" w:rsidR="00DA21FF" w:rsidRPr="00681FDF" w:rsidRDefault="00DA21FF" w:rsidP="00DA21FF">
      <w:pPr>
        <w:tabs>
          <w:tab w:val="left" w:pos="1245"/>
        </w:tabs>
        <w:rPr>
          <w:sz w:val="23"/>
          <w:szCs w:val="23"/>
        </w:rPr>
      </w:pPr>
      <w:r>
        <w:rPr>
          <w:sz w:val="23"/>
          <w:szCs w:val="23"/>
        </w:rPr>
        <w:t>Locational Running Annual Average</w:t>
      </w:r>
    </w:p>
    <w:p w14:paraId="5EDBB540" w14:textId="77777777" w:rsidR="00DA21FF" w:rsidRDefault="00DA21FF" w:rsidP="00DA21FF">
      <w:pPr>
        <w:tabs>
          <w:tab w:val="left" w:pos="1245"/>
        </w:tabs>
        <w:rPr>
          <w:b/>
          <w:i/>
          <w:sz w:val="23"/>
          <w:szCs w:val="23"/>
        </w:rPr>
      </w:pPr>
      <w:r>
        <w:rPr>
          <w:b/>
          <w:i/>
          <w:sz w:val="23"/>
          <w:szCs w:val="23"/>
        </w:rPr>
        <w:t>BDL</w:t>
      </w:r>
    </w:p>
    <w:p w14:paraId="2DC53024" w14:textId="77777777" w:rsidR="00DA21FF" w:rsidRDefault="00DA21FF" w:rsidP="00DA21FF">
      <w:pPr>
        <w:tabs>
          <w:tab w:val="left" w:pos="1245"/>
        </w:tabs>
        <w:rPr>
          <w:sz w:val="23"/>
          <w:szCs w:val="23"/>
        </w:rPr>
      </w:pPr>
      <w:r>
        <w:rPr>
          <w:sz w:val="23"/>
          <w:szCs w:val="23"/>
        </w:rPr>
        <w:t>Below Detection Limit</w:t>
      </w:r>
    </w:p>
    <w:p w14:paraId="00D4B165" w14:textId="77777777" w:rsidR="00DA21FF" w:rsidRDefault="00DA21FF" w:rsidP="00DA21FF">
      <w:pPr>
        <w:tabs>
          <w:tab w:val="left" w:pos="1245"/>
        </w:tabs>
        <w:rPr>
          <w:b/>
          <w:i/>
          <w:sz w:val="23"/>
          <w:szCs w:val="23"/>
        </w:rPr>
      </w:pPr>
      <w:r w:rsidRPr="00BE7E0A">
        <w:rPr>
          <w:b/>
          <w:i/>
          <w:sz w:val="23"/>
          <w:szCs w:val="23"/>
        </w:rPr>
        <w:t>ND</w:t>
      </w:r>
    </w:p>
    <w:p w14:paraId="7AA61AC6" w14:textId="77777777" w:rsidR="00DA21FF" w:rsidRPr="00BE7E0A" w:rsidRDefault="00DA21FF" w:rsidP="00DA21FF">
      <w:pPr>
        <w:tabs>
          <w:tab w:val="left" w:pos="1245"/>
        </w:tabs>
        <w:rPr>
          <w:sz w:val="23"/>
          <w:szCs w:val="23"/>
        </w:rPr>
      </w:pPr>
      <w:r>
        <w:rPr>
          <w:sz w:val="23"/>
          <w:szCs w:val="23"/>
        </w:rPr>
        <w:t>Non-Detectable</w:t>
      </w:r>
    </w:p>
    <w:p w14:paraId="515E08C7" w14:textId="77777777" w:rsidR="00DA21FF" w:rsidRPr="00F745A5" w:rsidRDefault="00DA21FF" w:rsidP="00DA21FF">
      <w:pPr>
        <w:tabs>
          <w:tab w:val="left" w:pos="1245"/>
        </w:tabs>
        <w:rPr>
          <w:sz w:val="23"/>
          <w:szCs w:val="23"/>
        </w:rPr>
      </w:pPr>
      <w:r>
        <w:rPr>
          <w:b/>
          <w:i/>
          <w:sz w:val="23"/>
          <w:szCs w:val="23"/>
        </w:rPr>
        <w:t>n/a</w:t>
      </w:r>
      <w:r>
        <w:rPr>
          <w:sz w:val="23"/>
          <w:szCs w:val="23"/>
        </w:rPr>
        <w:t xml:space="preserve"> – Not Applicable</w:t>
      </w:r>
    </w:p>
    <w:p w14:paraId="5DD994FF" w14:textId="77777777" w:rsidR="001A1DB5" w:rsidRDefault="001A1DB5" w:rsidP="001A1DB5">
      <w:pPr>
        <w:jc w:val="center"/>
      </w:pPr>
    </w:p>
    <w:sectPr w:rsidR="001A1DB5" w:rsidSect="00823F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52748"/>
    <w:multiLevelType w:val="hybridMultilevel"/>
    <w:tmpl w:val="3DB22A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3736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B5"/>
    <w:rsid w:val="001A1DB5"/>
    <w:rsid w:val="001C5AF5"/>
    <w:rsid w:val="00523D61"/>
    <w:rsid w:val="00707A9F"/>
    <w:rsid w:val="00823FEA"/>
    <w:rsid w:val="00C10E66"/>
    <w:rsid w:val="00DA21FF"/>
    <w:rsid w:val="00F5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B1A0A2"/>
  <w15:chartTrackingRefBased/>
  <w15:docId w15:val="{489584A7-CD43-43A1-AF8C-2D6538FF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B5"/>
    <w:pPr>
      <w:ind w:left="720"/>
      <w:contextualSpacing/>
    </w:pPr>
  </w:style>
  <w:style w:type="character" w:styleId="Hyperlink">
    <w:name w:val="Hyperlink"/>
    <w:rsid w:val="001A1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n.gov/environment/article/wr-wq-source-water-assess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6403-C583-4244-B559-BEA40C2B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Plant</dc:creator>
  <cp:keywords/>
  <dc:description/>
  <cp:lastModifiedBy>Chris Smith</cp:lastModifiedBy>
  <cp:revision>2</cp:revision>
  <cp:lastPrinted>2022-03-31T14:57:00Z</cp:lastPrinted>
  <dcterms:created xsi:type="dcterms:W3CDTF">2022-04-18T17:27:00Z</dcterms:created>
  <dcterms:modified xsi:type="dcterms:W3CDTF">2022-04-18T17:27:00Z</dcterms:modified>
</cp:coreProperties>
</file>